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A5CB" w14:textId="6318CD3D" w:rsidR="00E9259E" w:rsidRDefault="004C5DED" w:rsidP="00E9259E">
      <w:pPr>
        <w:pStyle w:val="Title"/>
        <w:spacing w:after="480"/>
      </w:pPr>
      <w:r w:rsidRPr="004C5DED">
        <w:t>Victoria</w:t>
      </w:r>
      <w:r>
        <w:t>’</w:t>
      </w:r>
      <w:r w:rsidRPr="004C5DED">
        <w:t>s</w:t>
      </w:r>
      <w:r w:rsidR="00E9259E">
        <w:t xml:space="preserve"> </w:t>
      </w:r>
      <w:r w:rsidRPr="004C5DED">
        <w:rPr>
          <w:lang w:val="en-AU"/>
        </w:rPr>
        <w:t>Investment Prospectus</w:t>
      </w:r>
      <w:r w:rsidR="008C426A">
        <w:rPr>
          <w:lang w:val="en-AU"/>
        </w:rPr>
        <w:t>:</w:t>
      </w:r>
      <w:r w:rsidR="00EC49FE">
        <w:rPr>
          <w:lang w:val="en-AU"/>
        </w:rPr>
        <w:t xml:space="preserve"> </w:t>
      </w:r>
      <w:r w:rsidR="00EC49FE" w:rsidRPr="00EC49FE">
        <w:t>Onshore Wind</w:t>
      </w:r>
    </w:p>
    <w:p w14:paraId="5233C572" w14:textId="2C251AE0" w:rsidR="000B5F38" w:rsidRPr="000B5F38" w:rsidRDefault="000B5F38" w:rsidP="000B5F38">
      <w:pPr>
        <w:spacing w:line="360" w:lineRule="auto"/>
        <w:rPr>
          <w:b/>
          <w:bCs/>
          <w:sz w:val="44"/>
          <w:szCs w:val="44"/>
          <w:lang w:val="en-GB"/>
        </w:rPr>
      </w:pPr>
      <w:r w:rsidRPr="000B5F38">
        <w:rPr>
          <w:b/>
          <w:bCs/>
          <w:sz w:val="44"/>
          <w:szCs w:val="44"/>
          <w:lang w:val="en-GB"/>
        </w:rPr>
        <w:t>Victoria, one of the world’s most exciting energy markets</w:t>
      </w:r>
    </w:p>
    <w:p w14:paraId="691F68A0" w14:textId="77777777" w:rsidR="00A51AD4" w:rsidRDefault="00A51AD4" w:rsidP="00A51AD4">
      <w:pPr>
        <w:pStyle w:val="TOAHeading"/>
      </w:pPr>
      <w:r>
        <w:t>Table of Contents</w:t>
      </w:r>
    </w:p>
    <w:p w14:paraId="067909BD" w14:textId="17D7C230" w:rsidR="000B5F38" w:rsidRDefault="009B6DE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79905022" w:history="1">
        <w:r w:rsidR="000B5F38" w:rsidRPr="00C6407D">
          <w:rPr>
            <w:rStyle w:val="Hyperlink"/>
            <w:noProof/>
          </w:rPr>
          <w:t>Acknowledgements</w:t>
        </w:r>
        <w:r w:rsidR="000B5F38">
          <w:rPr>
            <w:noProof/>
            <w:webHidden/>
          </w:rPr>
          <w:tab/>
        </w:r>
        <w:r w:rsidR="000B5F38">
          <w:rPr>
            <w:noProof/>
            <w:webHidden/>
          </w:rPr>
          <w:fldChar w:fldCharType="begin"/>
        </w:r>
        <w:r w:rsidR="000B5F38">
          <w:rPr>
            <w:noProof/>
            <w:webHidden/>
          </w:rPr>
          <w:instrText xml:space="preserve"> PAGEREF _Toc179905022 \h </w:instrText>
        </w:r>
        <w:r w:rsidR="000B5F38">
          <w:rPr>
            <w:noProof/>
            <w:webHidden/>
          </w:rPr>
        </w:r>
        <w:r w:rsidR="000B5F38">
          <w:rPr>
            <w:noProof/>
            <w:webHidden/>
          </w:rPr>
          <w:fldChar w:fldCharType="separate"/>
        </w:r>
        <w:r w:rsidR="000B5F38">
          <w:rPr>
            <w:noProof/>
            <w:webHidden/>
          </w:rPr>
          <w:t>3</w:t>
        </w:r>
        <w:r w:rsidR="000B5F38">
          <w:rPr>
            <w:noProof/>
            <w:webHidden/>
          </w:rPr>
          <w:fldChar w:fldCharType="end"/>
        </w:r>
      </w:hyperlink>
    </w:p>
    <w:p w14:paraId="6C7742F7" w14:textId="6A8FE040"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3" w:history="1">
        <w:r w:rsidRPr="00C6407D">
          <w:rPr>
            <w:rStyle w:val="Hyperlink"/>
            <w:noProof/>
          </w:rPr>
          <w:t>Why invest in Victoria’s onshore wind sector?</w:t>
        </w:r>
        <w:r>
          <w:rPr>
            <w:noProof/>
            <w:webHidden/>
          </w:rPr>
          <w:tab/>
        </w:r>
        <w:r>
          <w:rPr>
            <w:noProof/>
            <w:webHidden/>
          </w:rPr>
          <w:fldChar w:fldCharType="begin"/>
        </w:r>
        <w:r>
          <w:rPr>
            <w:noProof/>
            <w:webHidden/>
          </w:rPr>
          <w:instrText xml:space="preserve"> PAGEREF _Toc179905023 \h </w:instrText>
        </w:r>
        <w:r>
          <w:rPr>
            <w:noProof/>
            <w:webHidden/>
          </w:rPr>
        </w:r>
        <w:r>
          <w:rPr>
            <w:noProof/>
            <w:webHidden/>
          </w:rPr>
          <w:fldChar w:fldCharType="separate"/>
        </w:r>
        <w:r>
          <w:rPr>
            <w:noProof/>
            <w:webHidden/>
          </w:rPr>
          <w:t>6</w:t>
        </w:r>
        <w:r>
          <w:rPr>
            <w:noProof/>
            <w:webHidden/>
          </w:rPr>
          <w:fldChar w:fldCharType="end"/>
        </w:r>
      </w:hyperlink>
    </w:p>
    <w:p w14:paraId="3650FD7C" w14:textId="2BAA6030"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4" w:history="1">
        <w:r w:rsidRPr="00C6407D">
          <w:rPr>
            <w:rStyle w:val="Hyperlink"/>
            <w:noProof/>
          </w:rPr>
          <w:t>Our legislated targets are driving investment</w:t>
        </w:r>
        <w:r>
          <w:rPr>
            <w:noProof/>
            <w:webHidden/>
          </w:rPr>
          <w:tab/>
        </w:r>
        <w:r>
          <w:rPr>
            <w:noProof/>
            <w:webHidden/>
          </w:rPr>
          <w:fldChar w:fldCharType="begin"/>
        </w:r>
        <w:r>
          <w:rPr>
            <w:noProof/>
            <w:webHidden/>
          </w:rPr>
          <w:instrText xml:space="preserve"> PAGEREF _Toc179905024 \h </w:instrText>
        </w:r>
        <w:r>
          <w:rPr>
            <w:noProof/>
            <w:webHidden/>
          </w:rPr>
        </w:r>
        <w:r>
          <w:rPr>
            <w:noProof/>
            <w:webHidden/>
          </w:rPr>
          <w:fldChar w:fldCharType="separate"/>
        </w:r>
        <w:r>
          <w:rPr>
            <w:noProof/>
            <w:webHidden/>
          </w:rPr>
          <w:t>7</w:t>
        </w:r>
        <w:r>
          <w:rPr>
            <w:noProof/>
            <w:webHidden/>
          </w:rPr>
          <w:fldChar w:fldCharType="end"/>
        </w:r>
      </w:hyperlink>
    </w:p>
    <w:p w14:paraId="5C194C58" w14:textId="16300FBE"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5" w:history="1">
        <w:r w:rsidRPr="00C6407D">
          <w:rPr>
            <w:rStyle w:val="Hyperlink"/>
            <w:noProof/>
          </w:rPr>
          <w:t>Victoria’s world-leading wind resource</w:t>
        </w:r>
        <w:r>
          <w:rPr>
            <w:noProof/>
            <w:webHidden/>
          </w:rPr>
          <w:tab/>
        </w:r>
        <w:r>
          <w:rPr>
            <w:noProof/>
            <w:webHidden/>
          </w:rPr>
          <w:fldChar w:fldCharType="begin"/>
        </w:r>
        <w:r>
          <w:rPr>
            <w:noProof/>
            <w:webHidden/>
          </w:rPr>
          <w:instrText xml:space="preserve"> PAGEREF _Toc179905025 \h </w:instrText>
        </w:r>
        <w:r>
          <w:rPr>
            <w:noProof/>
            <w:webHidden/>
          </w:rPr>
        </w:r>
        <w:r>
          <w:rPr>
            <w:noProof/>
            <w:webHidden/>
          </w:rPr>
          <w:fldChar w:fldCharType="separate"/>
        </w:r>
        <w:r>
          <w:rPr>
            <w:noProof/>
            <w:webHidden/>
          </w:rPr>
          <w:t>9</w:t>
        </w:r>
        <w:r>
          <w:rPr>
            <w:noProof/>
            <w:webHidden/>
          </w:rPr>
          <w:fldChar w:fldCharType="end"/>
        </w:r>
      </w:hyperlink>
    </w:p>
    <w:p w14:paraId="5192C50D" w14:textId="7A288CF6"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6" w:history="1">
        <w:r w:rsidRPr="00C6407D">
          <w:rPr>
            <w:rStyle w:val="Hyperlink"/>
            <w:noProof/>
          </w:rPr>
          <w:t>VicGrid – shaping Victoria’s future grid</w:t>
        </w:r>
        <w:r>
          <w:rPr>
            <w:noProof/>
            <w:webHidden/>
          </w:rPr>
          <w:tab/>
        </w:r>
        <w:r>
          <w:rPr>
            <w:noProof/>
            <w:webHidden/>
          </w:rPr>
          <w:fldChar w:fldCharType="begin"/>
        </w:r>
        <w:r>
          <w:rPr>
            <w:noProof/>
            <w:webHidden/>
          </w:rPr>
          <w:instrText xml:space="preserve"> PAGEREF _Toc179905026 \h </w:instrText>
        </w:r>
        <w:r>
          <w:rPr>
            <w:noProof/>
            <w:webHidden/>
          </w:rPr>
        </w:r>
        <w:r>
          <w:rPr>
            <w:noProof/>
            <w:webHidden/>
          </w:rPr>
          <w:fldChar w:fldCharType="separate"/>
        </w:r>
        <w:r>
          <w:rPr>
            <w:noProof/>
            <w:webHidden/>
          </w:rPr>
          <w:t>11</w:t>
        </w:r>
        <w:r>
          <w:rPr>
            <w:noProof/>
            <w:webHidden/>
          </w:rPr>
          <w:fldChar w:fldCharType="end"/>
        </w:r>
      </w:hyperlink>
    </w:p>
    <w:p w14:paraId="069E71F2" w14:textId="1380CC36"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7" w:history="1">
        <w:r w:rsidRPr="00C6407D">
          <w:rPr>
            <w:rStyle w:val="Hyperlink"/>
            <w:noProof/>
          </w:rPr>
          <w:t>Flagship investments enabling new project connections</w:t>
        </w:r>
        <w:r>
          <w:rPr>
            <w:noProof/>
            <w:webHidden/>
          </w:rPr>
          <w:tab/>
        </w:r>
        <w:r>
          <w:rPr>
            <w:noProof/>
            <w:webHidden/>
          </w:rPr>
          <w:fldChar w:fldCharType="begin"/>
        </w:r>
        <w:r>
          <w:rPr>
            <w:noProof/>
            <w:webHidden/>
          </w:rPr>
          <w:instrText xml:space="preserve"> PAGEREF _Toc179905027 \h </w:instrText>
        </w:r>
        <w:r>
          <w:rPr>
            <w:noProof/>
            <w:webHidden/>
          </w:rPr>
        </w:r>
        <w:r>
          <w:rPr>
            <w:noProof/>
            <w:webHidden/>
          </w:rPr>
          <w:fldChar w:fldCharType="separate"/>
        </w:r>
        <w:r>
          <w:rPr>
            <w:noProof/>
            <w:webHidden/>
          </w:rPr>
          <w:t>12</w:t>
        </w:r>
        <w:r>
          <w:rPr>
            <w:noProof/>
            <w:webHidden/>
          </w:rPr>
          <w:fldChar w:fldCharType="end"/>
        </w:r>
      </w:hyperlink>
    </w:p>
    <w:p w14:paraId="07860BD0" w14:textId="3BD1E12A"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8" w:history="1">
        <w:r w:rsidRPr="00C6407D">
          <w:rPr>
            <w:rStyle w:val="Hyperlink"/>
            <w:noProof/>
          </w:rPr>
          <w:t>Powering Victoria’s renewable energy future</w:t>
        </w:r>
        <w:r>
          <w:rPr>
            <w:noProof/>
            <w:webHidden/>
          </w:rPr>
          <w:tab/>
        </w:r>
        <w:r>
          <w:rPr>
            <w:noProof/>
            <w:webHidden/>
          </w:rPr>
          <w:fldChar w:fldCharType="begin"/>
        </w:r>
        <w:r>
          <w:rPr>
            <w:noProof/>
            <w:webHidden/>
          </w:rPr>
          <w:instrText xml:space="preserve"> PAGEREF _Toc179905028 \h </w:instrText>
        </w:r>
        <w:r>
          <w:rPr>
            <w:noProof/>
            <w:webHidden/>
          </w:rPr>
        </w:r>
        <w:r>
          <w:rPr>
            <w:noProof/>
            <w:webHidden/>
          </w:rPr>
          <w:fldChar w:fldCharType="separate"/>
        </w:r>
        <w:r>
          <w:rPr>
            <w:noProof/>
            <w:webHidden/>
          </w:rPr>
          <w:t>13</w:t>
        </w:r>
        <w:r>
          <w:rPr>
            <w:noProof/>
            <w:webHidden/>
          </w:rPr>
          <w:fldChar w:fldCharType="end"/>
        </w:r>
      </w:hyperlink>
    </w:p>
    <w:p w14:paraId="3C7FD532" w14:textId="16810670"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29" w:history="1">
        <w:r w:rsidRPr="00C6407D">
          <w:rPr>
            <w:rStyle w:val="Hyperlink"/>
            <w:noProof/>
          </w:rPr>
          <w:t>Government policy accelerating demand</w:t>
        </w:r>
        <w:r>
          <w:rPr>
            <w:noProof/>
            <w:webHidden/>
          </w:rPr>
          <w:tab/>
        </w:r>
        <w:r>
          <w:rPr>
            <w:noProof/>
            <w:webHidden/>
          </w:rPr>
          <w:fldChar w:fldCharType="begin"/>
        </w:r>
        <w:r>
          <w:rPr>
            <w:noProof/>
            <w:webHidden/>
          </w:rPr>
          <w:instrText xml:space="preserve"> PAGEREF _Toc179905029 \h </w:instrText>
        </w:r>
        <w:r>
          <w:rPr>
            <w:noProof/>
            <w:webHidden/>
          </w:rPr>
        </w:r>
        <w:r>
          <w:rPr>
            <w:noProof/>
            <w:webHidden/>
          </w:rPr>
          <w:fldChar w:fldCharType="separate"/>
        </w:r>
        <w:r>
          <w:rPr>
            <w:noProof/>
            <w:webHidden/>
          </w:rPr>
          <w:t>15</w:t>
        </w:r>
        <w:r>
          <w:rPr>
            <w:noProof/>
            <w:webHidden/>
          </w:rPr>
          <w:fldChar w:fldCharType="end"/>
        </w:r>
      </w:hyperlink>
    </w:p>
    <w:p w14:paraId="0F22C692" w14:textId="6B91C701"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0" w:history="1">
        <w:r w:rsidRPr="00C6407D">
          <w:rPr>
            <w:rStyle w:val="Hyperlink"/>
            <w:noProof/>
          </w:rPr>
          <w:t>Fast-tracking planning approvals</w:t>
        </w:r>
        <w:r>
          <w:rPr>
            <w:noProof/>
            <w:webHidden/>
          </w:rPr>
          <w:tab/>
        </w:r>
        <w:r>
          <w:rPr>
            <w:noProof/>
            <w:webHidden/>
          </w:rPr>
          <w:fldChar w:fldCharType="begin"/>
        </w:r>
        <w:r>
          <w:rPr>
            <w:noProof/>
            <w:webHidden/>
          </w:rPr>
          <w:instrText xml:space="preserve"> PAGEREF _Toc179905030 \h </w:instrText>
        </w:r>
        <w:r>
          <w:rPr>
            <w:noProof/>
            <w:webHidden/>
          </w:rPr>
        </w:r>
        <w:r>
          <w:rPr>
            <w:noProof/>
            <w:webHidden/>
          </w:rPr>
          <w:fldChar w:fldCharType="separate"/>
        </w:r>
        <w:r>
          <w:rPr>
            <w:noProof/>
            <w:webHidden/>
          </w:rPr>
          <w:t>17</w:t>
        </w:r>
        <w:r>
          <w:rPr>
            <w:noProof/>
            <w:webHidden/>
          </w:rPr>
          <w:fldChar w:fldCharType="end"/>
        </w:r>
      </w:hyperlink>
    </w:p>
    <w:p w14:paraId="442875A1" w14:textId="102268E2"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1" w:history="1">
        <w:r w:rsidRPr="00C6407D">
          <w:rPr>
            <w:rStyle w:val="Hyperlink"/>
            <w:noProof/>
          </w:rPr>
          <w:t>Investing in a Future Made in Australia</w:t>
        </w:r>
        <w:r>
          <w:rPr>
            <w:noProof/>
            <w:webHidden/>
          </w:rPr>
          <w:tab/>
        </w:r>
        <w:r>
          <w:rPr>
            <w:noProof/>
            <w:webHidden/>
          </w:rPr>
          <w:fldChar w:fldCharType="begin"/>
        </w:r>
        <w:r>
          <w:rPr>
            <w:noProof/>
            <w:webHidden/>
          </w:rPr>
          <w:instrText xml:space="preserve"> PAGEREF _Toc179905031 \h </w:instrText>
        </w:r>
        <w:r>
          <w:rPr>
            <w:noProof/>
            <w:webHidden/>
          </w:rPr>
        </w:r>
        <w:r>
          <w:rPr>
            <w:noProof/>
            <w:webHidden/>
          </w:rPr>
          <w:fldChar w:fldCharType="separate"/>
        </w:r>
        <w:r>
          <w:rPr>
            <w:noProof/>
            <w:webHidden/>
          </w:rPr>
          <w:t>19</w:t>
        </w:r>
        <w:r>
          <w:rPr>
            <w:noProof/>
            <w:webHidden/>
          </w:rPr>
          <w:fldChar w:fldCharType="end"/>
        </w:r>
      </w:hyperlink>
    </w:p>
    <w:p w14:paraId="5F3569DE" w14:textId="3AEC5DE5"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2" w:history="1">
        <w:r w:rsidRPr="00C6407D">
          <w:rPr>
            <w:rStyle w:val="Hyperlink"/>
            <w:noProof/>
          </w:rPr>
          <w:t>Capacity Investment Scheme</w:t>
        </w:r>
        <w:r>
          <w:rPr>
            <w:noProof/>
            <w:webHidden/>
          </w:rPr>
          <w:tab/>
        </w:r>
        <w:r>
          <w:rPr>
            <w:noProof/>
            <w:webHidden/>
          </w:rPr>
          <w:fldChar w:fldCharType="begin"/>
        </w:r>
        <w:r>
          <w:rPr>
            <w:noProof/>
            <w:webHidden/>
          </w:rPr>
          <w:instrText xml:space="preserve"> PAGEREF _Toc179905032 \h </w:instrText>
        </w:r>
        <w:r>
          <w:rPr>
            <w:noProof/>
            <w:webHidden/>
          </w:rPr>
        </w:r>
        <w:r>
          <w:rPr>
            <w:noProof/>
            <w:webHidden/>
          </w:rPr>
          <w:fldChar w:fldCharType="separate"/>
        </w:r>
        <w:r>
          <w:rPr>
            <w:noProof/>
            <w:webHidden/>
          </w:rPr>
          <w:t>21</w:t>
        </w:r>
        <w:r>
          <w:rPr>
            <w:noProof/>
            <w:webHidden/>
          </w:rPr>
          <w:fldChar w:fldCharType="end"/>
        </w:r>
      </w:hyperlink>
    </w:p>
    <w:p w14:paraId="1F2B5553" w14:textId="2BF4412D"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3" w:history="1">
        <w:r w:rsidRPr="00C6407D">
          <w:rPr>
            <w:rStyle w:val="Hyperlink"/>
            <w:noProof/>
          </w:rPr>
          <w:t>Offshore Wind</w:t>
        </w:r>
        <w:r>
          <w:rPr>
            <w:noProof/>
            <w:webHidden/>
          </w:rPr>
          <w:tab/>
        </w:r>
        <w:r>
          <w:rPr>
            <w:noProof/>
            <w:webHidden/>
          </w:rPr>
          <w:fldChar w:fldCharType="begin"/>
        </w:r>
        <w:r>
          <w:rPr>
            <w:noProof/>
            <w:webHidden/>
          </w:rPr>
          <w:instrText xml:space="preserve"> PAGEREF _Toc179905033 \h </w:instrText>
        </w:r>
        <w:r>
          <w:rPr>
            <w:noProof/>
            <w:webHidden/>
          </w:rPr>
        </w:r>
        <w:r>
          <w:rPr>
            <w:noProof/>
            <w:webHidden/>
          </w:rPr>
          <w:fldChar w:fldCharType="separate"/>
        </w:r>
        <w:r>
          <w:rPr>
            <w:noProof/>
            <w:webHidden/>
          </w:rPr>
          <w:t>22</w:t>
        </w:r>
        <w:r>
          <w:rPr>
            <w:noProof/>
            <w:webHidden/>
          </w:rPr>
          <w:fldChar w:fldCharType="end"/>
        </w:r>
      </w:hyperlink>
    </w:p>
    <w:p w14:paraId="5C75054D" w14:textId="35DED495"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4" w:history="1">
        <w:r w:rsidRPr="00C6407D">
          <w:rPr>
            <w:rStyle w:val="Hyperlink"/>
            <w:noProof/>
          </w:rPr>
          <w:t>Access to Victoria’s world-class renewable energy talent</w:t>
        </w:r>
        <w:r>
          <w:rPr>
            <w:noProof/>
            <w:webHidden/>
          </w:rPr>
          <w:tab/>
        </w:r>
        <w:r>
          <w:rPr>
            <w:noProof/>
            <w:webHidden/>
          </w:rPr>
          <w:fldChar w:fldCharType="begin"/>
        </w:r>
        <w:r>
          <w:rPr>
            <w:noProof/>
            <w:webHidden/>
          </w:rPr>
          <w:instrText xml:space="preserve"> PAGEREF _Toc179905034 \h </w:instrText>
        </w:r>
        <w:r>
          <w:rPr>
            <w:noProof/>
            <w:webHidden/>
          </w:rPr>
        </w:r>
        <w:r>
          <w:rPr>
            <w:noProof/>
            <w:webHidden/>
          </w:rPr>
          <w:fldChar w:fldCharType="separate"/>
        </w:r>
        <w:r>
          <w:rPr>
            <w:noProof/>
            <w:webHidden/>
          </w:rPr>
          <w:t>24</w:t>
        </w:r>
        <w:r>
          <w:rPr>
            <w:noProof/>
            <w:webHidden/>
          </w:rPr>
          <w:fldChar w:fldCharType="end"/>
        </w:r>
      </w:hyperlink>
    </w:p>
    <w:p w14:paraId="10594500" w14:textId="0EEA84B3"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5" w:history="1">
        <w:r w:rsidRPr="00C6407D">
          <w:rPr>
            <w:rStyle w:val="Hyperlink"/>
            <w:noProof/>
          </w:rPr>
          <w:t>In-demand critical mineral deposits</w:t>
        </w:r>
        <w:r>
          <w:rPr>
            <w:noProof/>
            <w:webHidden/>
          </w:rPr>
          <w:tab/>
        </w:r>
        <w:r>
          <w:rPr>
            <w:noProof/>
            <w:webHidden/>
          </w:rPr>
          <w:fldChar w:fldCharType="begin"/>
        </w:r>
        <w:r>
          <w:rPr>
            <w:noProof/>
            <w:webHidden/>
          </w:rPr>
          <w:instrText xml:space="preserve"> PAGEREF _Toc179905035 \h </w:instrText>
        </w:r>
        <w:r>
          <w:rPr>
            <w:noProof/>
            <w:webHidden/>
          </w:rPr>
        </w:r>
        <w:r>
          <w:rPr>
            <w:noProof/>
            <w:webHidden/>
          </w:rPr>
          <w:fldChar w:fldCharType="separate"/>
        </w:r>
        <w:r>
          <w:rPr>
            <w:noProof/>
            <w:webHidden/>
          </w:rPr>
          <w:t>26</w:t>
        </w:r>
        <w:r>
          <w:rPr>
            <w:noProof/>
            <w:webHidden/>
          </w:rPr>
          <w:fldChar w:fldCharType="end"/>
        </w:r>
      </w:hyperlink>
    </w:p>
    <w:p w14:paraId="4BB8C54D" w14:textId="00BAA0AC"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6" w:history="1">
        <w:r w:rsidRPr="00C6407D">
          <w:rPr>
            <w:rStyle w:val="Hyperlink"/>
            <w:noProof/>
          </w:rPr>
          <w:t>Celebrating success in our wind sector</w:t>
        </w:r>
        <w:r>
          <w:rPr>
            <w:noProof/>
            <w:webHidden/>
          </w:rPr>
          <w:tab/>
        </w:r>
        <w:r>
          <w:rPr>
            <w:noProof/>
            <w:webHidden/>
          </w:rPr>
          <w:fldChar w:fldCharType="begin"/>
        </w:r>
        <w:r>
          <w:rPr>
            <w:noProof/>
            <w:webHidden/>
          </w:rPr>
          <w:instrText xml:space="preserve"> PAGEREF _Toc179905036 \h </w:instrText>
        </w:r>
        <w:r>
          <w:rPr>
            <w:noProof/>
            <w:webHidden/>
          </w:rPr>
        </w:r>
        <w:r>
          <w:rPr>
            <w:noProof/>
            <w:webHidden/>
          </w:rPr>
          <w:fldChar w:fldCharType="separate"/>
        </w:r>
        <w:r>
          <w:rPr>
            <w:noProof/>
            <w:webHidden/>
          </w:rPr>
          <w:t>28</w:t>
        </w:r>
        <w:r>
          <w:rPr>
            <w:noProof/>
            <w:webHidden/>
          </w:rPr>
          <w:fldChar w:fldCharType="end"/>
        </w:r>
      </w:hyperlink>
    </w:p>
    <w:p w14:paraId="0A75EC93" w14:textId="2209B0FA"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7" w:history="1">
        <w:r w:rsidRPr="00C6407D">
          <w:rPr>
            <w:rStyle w:val="Hyperlink"/>
            <w:noProof/>
          </w:rPr>
          <w:t>Co-locate with energy storage to maximise output</w:t>
        </w:r>
        <w:r>
          <w:rPr>
            <w:noProof/>
            <w:webHidden/>
          </w:rPr>
          <w:tab/>
        </w:r>
        <w:r>
          <w:rPr>
            <w:noProof/>
            <w:webHidden/>
          </w:rPr>
          <w:fldChar w:fldCharType="begin"/>
        </w:r>
        <w:r>
          <w:rPr>
            <w:noProof/>
            <w:webHidden/>
          </w:rPr>
          <w:instrText xml:space="preserve"> PAGEREF _Toc179905037 \h </w:instrText>
        </w:r>
        <w:r>
          <w:rPr>
            <w:noProof/>
            <w:webHidden/>
          </w:rPr>
        </w:r>
        <w:r>
          <w:rPr>
            <w:noProof/>
            <w:webHidden/>
          </w:rPr>
          <w:fldChar w:fldCharType="separate"/>
        </w:r>
        <w:r>
          <w:rPr>
            <w:noProof/>
            <w:webHidden/>
          </w:rPr>
          <w:t>30</w:t>
        </w:r>
        <w:r>
          <w:rPr>
            <w:noProof/>
            <w:webHidden/>
          </w:rPr>
          <w:fldChar w:fldCharType="end"/>
        </w:r>
      </w:hyperlink>
    </w:p>
    <w:p w14:paraId="69016F75" w14:textId="32CD0657"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8" w:history="1">
        <w:r w:rsidRPr="00C6407D">
          <w:rPr>
            <w:rStyle w:val="Hyperlink"/>
            <w:noProof/>
          </w:rPr>
          <w:t>A world class supply chain to support a thriving wind industry</w:t>
        </w:r>
        <w:r>
          <w:rPr>
            <w:noProof/>
            <w:webHidden/>
          </w:rPr>
          <w:tab/>
        </w:r>
        <w:r>
          <w:rPr>
            <w:noProof/>
            <w:webHidden/>
          </w:rPr>
          <w:fldChar w:fldCharType="begin"/>
        </w:r>
        <w:r>
          <w:rPr>
            <w:noProof/>
            <w:webHidden/>
          </w:rPr>
          <w:instrText xml:space="preserve"> PAGEREF _Toc179905038 \h </w:instrText>
        </w:r>
        <w:r>
          <w:rPr>
            <w:noProof/>
            <w:webHidden/>
          </w:rPr>
        </w:r>
        <w:r>
          <w:rPr>
            <w:noProof/>
            <w:webHidden/>
          </w:rPr>
          <w:fldChar w:fldCharType="separate"/>
        </w:r>
        <w:r>
          <w:rPr>
            <w:noProof/>
            <w:webHidden/>
          </w:rPr>
          <w:t>32</w:t>
        </w:r>
        <w:r>
          <w:rPr>
            <w:noProof/>
            <w:webHidden/>
          </w:rPr>
          <w:fldChar w:fldCharType="end"/>
        </w:r>
      </w:hyperlink>
    </w:p>
    <w:p w14:paraId="771DD436" w14:textId="06868B4E"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39" w:history="1">
        <w:r w:rsidRPr="00C6407D">
          <w:rPr>
            <w:rStyle w:val="Hyperlink"/>
            <w:noProof/>
          </w:rPr>
          <w:t>Key Victorian Government entities</w:t>
        </w:r>
        <w:r>
          <w:rPr>
            <w:noProof/>
            <w:webHidden/>
          </w:rPr>
          <w:tab/>
        </w:r>
        <w:r>
          <w:rPr>
            <w:noProof/>
            <w:webHidden/>
          </w:rPr>
          <w:fldChar w:fldCharType="begin"/>
        </w:r>
        <w:r>
          <w:rPr>
            <w:noProof/>
            <w:webHidden/>
          </w:rPr>
          <w:instrText xml:space="preserve"> PAGEREF _Toc179905039 \h </w:instrText>
        </w:r>
        <w:r>
          <w:rPr>
            <w:noProof/>
            <w:webHidden/>
          </w:rPr>
        </w:r>
        <w:r>
          <w:rPr>
            <w:noProof/>
            <w:webHidden/>
          </w:rPr>
          <w:fldChar w:fldCharType="separate"/>
        </w:r>
        <w:r>
          <w:rPr>
            <w:noProof/>
            <w:webHidden/>
          </w:rPr>
          <w:t>35</w:t>
        </w:r>
        <w:r>
          <w:rPr>
            <w:noProof/>
            <w:webHidden/>
          </w:rPr>
          <w:fldChar w:fldCharType="end"/>
        </w:r>
      </w:hyperlink>
    </w:p>
    <w:p w14:paraId="4E630D5C" w14:textId="46939260" w:rsidR="000B5F38" w:rsidRDefault="000B5F38">
      <w:pPr>
        <w:pStyle w:val="TOC1"/>
        <w:tabs>
          <w:tab w:val="right" w:leader="dot" w:pos="9628"/>
        </w:tabs>
        <w:rPr>
          <w:rFonts w:asciiTheme="minorHAnsi" w:hAnsiTheme="minorHAnsi" w:cstheme="minorBidi"/>
          <w:bCs w:val="0"/>
          <w:noProof/>
          <w:kern w:val="2"/>
          <w:lang w:eastAsia="en-GB"/>
          <w14:ligatures w14:val="standardContextual"/>
        </w:rPr>
      </w:pPr>
      <w:hyperlink w:anchor="_Toc179905040" w:history="1">
        <w:r w:rsidRPr="00C6407D">
          <w:rPr>
            <w:rStyle w:val="Hyperlink"/>
            <w:noProof/>
          </w:rPr>
          <w:t>For international investors</w:t>
        </w:r>
        <w:r>
          <w:rPr>
            <w:noProof/>
            <w:webHidden/>
          </w:rPr>
          <w:tab/>
        </w:r>
        <w:r>
          <w:rPr>
            <w:noProof/>
            <w:webHidden/>
          </w:rPr>
          <w:fldChar w:fldCharType="begin"/>
        </w:r>
        <w:r>
          <w:rPr>
            <w:noProof/>
            <w:webHidden/>
          </w:rPr>
          <w:instrText xml:space="preserve"> PAGEREF _Toc179905040 \h </w:instrText>
        </w:r>
        <w:r>
          <w:rPr>
            <w:noProof/>
            <w:webHidden/>
          </w:rPr>
        </w:r>
        <w:r>
          <w:rPr>
            <w:noProof/>
            <w:webHidden/>
          </w:rPr>
          <w:fldChar w:fldCharType="separate"/>
        </w:r>
        <w:r>
          <w:rPr>
            <w:noProof/>
            <w:webHidden/>
          </w:rPr>
          <w:t>38</w:t>
        </w:r>
        <w:r>
          <w:rPr>
            <w:noProof/>
            <w:webHidden/>
          </w:rPr>
          <w:fldChar w:fldCharType="end"/>
        </w:r>
      </w:hyperlink>
    </w:p>
    <w:p w14:paraId="4E06A871" w14:textId="490451EC"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79905022"/>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licence,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You are free to re-use the work under that licence, on the condition that you credit the State of Victoria as author. The licence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5FD29ADE" w:rsidR="004C5DED" w:rsidRPr="00EA4C55" w:rsidRDefault="00EA4C55" w:rsidP="004C5DED">
      <w:pPr>
        <w:pStyle w:val="BodyText"/>
        <w:rPr>
          <w:lang w:val="en-US"/>
        </w:rPr>
      </w:pPr>
      <w:r w:rsidRPr="00EA4C55">
        <w:rPr>
          <w:lang w:val="en-US"/>
        </w:rPr>
        <w:t xml:space="preserve">ISBN 978-1-76136-595-9 </w:t>
      </w:r>
      <w:r w:rsidR="004C5DED" w:rsidRPr="004C5DED">
        <w:rPr>
          <w:lang w:val="en-US"/>
        </w:rPr>
        <w:t>(pdf/online/MS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This publication may be of assistance to you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53B41C2B"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474DA038" w14:textId="77777777" w:rsidR="00B40005" w:rsidRPr="004C5DED" w:rsidRDefault="00B40005" w:rsidP="000B5F38">
      <w:pPr>
        <w:pStyle w:val="Heading4"/>
      </w:pPr>
      <w:r w:rsidRPr="004C5DED">
        <w:lastRenderedPageBreak/>
        <w:t>Traditional Owners at the centre of</w:t>
      </w:r>
      <w:r>
        <w:t xml:space="preserve"> </w:t>
      </w:r>
      <w:r w:rsidRPr="004C5DED">
        <w:t>decision-making processes</w:t>
      </w:r>
    </w:p>
    <w:p w14:paraId="08086322" w14:textId="77777777" w:rsidR="00B40005" w:rsidRPr="004C5DED" w:rsidRDefault="00B40005" w:rsidP="00B40005">
      <w:pPr>
        <w:pStyle w:val="BodyText"/>
      </w:pPr>
      <w:r w:rsidRPr="004C5DED">
        <w:t xml:space="preserve">Strong and </w:t>
      </w:r>
      <w:r>
        <w:t>m</w:t>
      </w:r>
      <w:r w:rsidRPr="004C5DED">
        <w:t>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Pupangarli Marnmarnepu ‘Owning Our Future’ Aboriginal Self-Determination Reform Strategy 2020–2025.</w:t>
      </w:r>
    </w:p>
    <w:p w14:paraId="44CFBA36" w14:textId="77777777" w:rsidR="00B40005" w:rsidRPr="004C5DED" w:rsidRDefault="00B40005" w:rsidP="00B40005">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7C5AE4A0" w14:textId="58C87BD5" w:rsidR="00B40005" w:rsidRPr="00B40005" w:rsidRDefault="00B40005" w:rsidP="00B40005">
      <w:pPr>
        <w:pStyle w:val="BodyText"/>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r>
        <w:br w:type="page"/>
      </w:r>
    </w:p>
    <w:p w14:paraId="21A78C42" w14:textId="788AB551" w:rsidR="00E9259E" w:rsidRDefault="00E9259E" w:rsidP="00E9259E">
      <w:pPr>
        <w:pStyle w:val="Heading1"/>
        <w:ind w:right="-143"/>
      </w:pPr>
      <w:bookmarkStart w:id="1" w:name="_Toc179905023"/>
      <w:r w:rsidRPr="00E9259E">
        <w:lastRenderedPageBreak/>
        <w:t>Why invest in Victoria’s</w:t>
      </w:r>
      <w:r>
        <w:t xml:space="preserve"> </w:t>
      </w:r>
      <w:r w:rsidR="00EC49FE" w:rsidRPr="00EC49FE">
        <w:t>onshore wind</w:t>
      </w:r>
      <w:r w:rsidR="00EC49FE">
        <w:t xml:space="preserve"> </w:t>
      </w:r>
      <w:r w:rsidRPr="00E9259E">
        <w:t>sector?</w:t>
      </w:r>
      <w:bookmarkEnd w:id="1"/>
    </w:p>
    <w:p w14:paraId="5CA13566" w14:textId="77777777" w:rsidR="005D5D7F" w:rsidRPr="005D5D7F" w:rsidRDefault="005D5D7F" w:rsidP="005D5D7F">
      <w:pPr>
        <w:pStyle w:val="Heading4"/>
      </w:pPr>
      <w:r w:rsidRPr="005D5D7F">
        <w:t>Targets fuelling investment</w:t>
      </w:r>
    </w:p>
    <w:p w14:paraId="2F8A7DF8" w14:textId="77777777" w:rsidR="005D5D7F" w:rsidRPr="005D5D7F" w:rsidRDefault="005D5D7F" w:rsidP="005D5D7F">
      <w:pPr>
        <w:pStyle w:val="BodyText"/>
      </w:pPr>
      <w:r w:rsidRPr="005D5D7F">
        <w:t xml:space="preserve">Victoria is estimated to need an additional 5.4 GW of onshore wind generation to meet the Victorian Renewable Electricity Target of 95% by 2035. </w:t>
      </w:r>
    </w:p>
    <w:p w14:paraId="631851F2" w14:textId="77777777" w:rsidR="005D5D7F" w:rsidRPr="005D5D7F" w:rsidRDefault="005D5D7F" w:rsidP="005D5D7F">
      <w:pPr>
        <w:pStyle w:val="Heading4"/>
      </w:pPr>
      <w:r w:rsidRPr="005D5D7F">
        <w:t>Planning reforms to derisk your investments</w:t>
      </w:r>
    </w:p>
    <w:p w14:paraId="370C8D27" w14:textId="77777777" w:rsidR="005D5D7F" w:rsidRPr="005D5D7F" w:rsidRDefault="005D5D7F" w:rsidP="005D5D7F">
      <w:pPr>
        <w:pStyle w:val="BodyText"/>
      </w:pPr>
      <w:r w:rsidRPr="005D5D7F">
        <w:t>The Victorian Government recently expanded the Development Facilitation Program to fast-track planning approvals for large renewable energy facilities such as wind farms.</w:t>
      </w:r>
    </w:p>
    <w:p w14:paraId="591BF6D8" w14:textId="77777777" w:rsidR="005D5D7F" w:rsidRPr="005D5D7F" w:rsidRDefault="005D5D7F" w:rsidP="005D5D7F">
      <w:pPr>
        <w:pStyle w:val="Heading4"/>
      </w:pPr>
      <w:r w:rsidRPr="005D5D7F">
        <w:t>Attractive market for generators</w:t>
      </w:r>
    </w:p>
    <w:p w14:paraId="20D9ADFD" w14:textId="77777777" w:rsidR="005D5D7F" w:rsidRPr="005D5D7F" w:rsidRDefault="005D5D7F" w:rsidP="005D5D7F">
      <w:pPr>
        <w:pStyle w:val="BodyText"/>
      </w:pPr>
      <w:r w:rsidRPr="005D5D7F">
        <w:t>Victoria has a fully competitive, transparent and privatised energy market, positioned at the heart of Australia’s National Electricity Market.</w:t>
      </w:r>
    </w:p>
    <w:p w14:paraId="2EB40F25" w14:textId="77777777" w:rsidR="005D5D7F" w:rsidRPr="005D5D7F" w:rsidRDefault="005D5D7F" w:rsidP="005D5D7F">
      <w:pPr>
        <w:pStyle w:val="Heading4"/>
      </w:pPr>
      <w:r w:rsidRPr="005D5D7F">
        <w:t>Network upgrades unlock access to resources</w:t>
      </w:r>
    </w:p>
    <w:p w14:paraId="4CB5D85B" w14:textId="77777777" w:rsidR="005D5D7F" w:rsidRPr="005D5D7F" w:rsidRDefault="005D5D7F" w:rsidP="005D5D7F">
      <w:pPr>
        <w:pStyle w:val="BodyText"/>
      </w:pPr>
      <w:r w:rsidRPr="005D5D7F">
        <w:t>Planned near-term transmission network upgrades to Victoria’s Renewable Energy Zones will unlock even more of Victoria’s wind resources.</w:t>
      </w:r>
    </w:p>
    <w:p w14:paraId="6D65173D" w14:textId="77777777" w:rsidR="005D5D7F" w:rsidRPr="005D5D7F" w:rsidRDefault="005D5D7F" w:rsidP="005D5D7F">
      <w:pPr>
        <w:pStyle w:val="Heading4"/>
      </w:pPr>
      <w:r w:rsidRPr="005D5D7F">
        <w:t>One of the best wind resource regions in the world</w:t>
      </w:r>
    </w:p>
    <w:p w14:paraId="5A396F67" w14:textId="77777777" w:rsidR="005D5D7F" w:rsidRPr="005D5D7F" w:rsidRDefault="005D5D7F" w:rsidP="005D5D7F">
      <w:pPr>
        <w:pStyle w:val="BodyText"/>
      </w:pPr>
      <w:r w:rsidRPr="005D5D7F">
        <w:t>Victoria has excellent wind resources by global standards, with a top average wind speed of 8.4 m/s in the state’s west.</w:t>
      </w:r>
    </w:p>
    <w:p w14:paraId="2C13ED10" w14:textId="77777777" w:rsidR="005D5D7F" w:rsidRPr="005D5D7F" w:rsidRDefault="005D5D7F" w:rsidP="005D5D7F">
      <w:pPr>
        <w:pStyle w:val="Heading4"/>
      </w:pPr>
      <w:r w:rsidRPr="005D5D7F">
        <w:t>Advanced manufacturing and supply chain capabilities</w:t>
      </w:r>
    </w:p>
    <w:p w14:paraId="509DED20" w14:textId="6418DDC5" w:rsidR="00BE1C6A" w:rsidRPr="005D5D7F" w:rsidRDefault="005D5D7F" w:rsidP="005D5D7F">
      <w:pPr>
        <w:pStyle w:val="BodyText"/>
        <w:rPr>
          <w:rFonts w:cstheme="minorBidi"/>
          <w:kern w:val="0"/>
        </w:rPr>
      </w:pPr>
      <w:r w:rsidRPr="005D5D7F">
        <w:t>Our experienced manufacturing sector and local suppliers are well-positioned to support project development.</w:t>
      </w:r>
      <w:r w:rsidR="00BE1C6A">
        <w:br w:type="page"/>
      </w:r>
    </w:p>
    <w:p w14:paraId="7FDD98EE" w14:textId="77777777" w:rsidR="00EC49FE" w:rsidRPr="00424778" w:rsidRDefault="00EC49FE" w:rsidP="00EC49FE">
      <w:pPr>
        <w:pStyle w:val="Heading1"/>
      </w:pPr>
      <w:bookmarkStart w:id="2" w:name="_Toc179468016"/>
      <w:bookmarkStart w:id="3" w:name="_Toc179905024"/>
      <w:r w:rsidRPr="00424778">
        <w:lastRenderedPageBreak/>
        <w:t>Our legislated targets are driving investment</w:t>
      </w:r>
      <w:bookmarkEnd w:id="2"/>
      <w:bookmarkEnd w:id="3"/>
    </w:p>
    <w:p w14:paraId="7340CE21" w14:textId="77777777" w:rsidR="00EC49FE" w:rsidRPr="00424778" w:rsidRDefault="00EC49FE" w:rsidP="00EC49FE">
      <w:pPr>
        <w:pStyle w:val="Heading4"/>
      </w:pPr>
      <w:r w:rsidRPr="00424778">
        <w:t>Victoria's changing energy market is creating investment opportunities</w:t>
      </w:r>
    </w:p>
    <w:p w14:paraId="1830C8F1" w14:textId="77777777" w:rsidR="00EC49FE" w:rsidRPr="00424778" w:rsidRDefault="00EC49FE" w:rsidP="00EC49FE">
      <w:pPr>
        <w:pStyle w:val="BodyText"/>
      </w:pPr>
      <w:r w:rsidRPr="00424778">
        <w:t>Victoria’s energy market is in transition, shifting from its historic fuel source of brown coal to a more diversified, renewable mix. The Victorian Government has entered into structured transition agreements with owners of 2 of the largest coal-fired generators, that will see these assets close in 2028 and 2035 respectively.</w:t>
      </w:r>
    </w:p>
    <w:p w14:paraId="22999042" w14:textId="77777777" w:rsidR="00EC49FE" w:rsidRPr="00424778" w:rsidRDefault="00EC49FE" w:rsidP="00EC49FE">
      <w:pPr>
        <w:pStyle w:val="BodyText"/>
      </w:pPr>
      <w:r w:rsidRPr="00424778">
        <w:t xml:space="preserve">This creates unprecedented opportunities for investment, as the state will need an estimated </w:t>
      </w:r>
      <w:r w:rsidRPr="00DD0D28">
        <w:rPr>
          <w:b/>
          <w:bCs/>
        </w:rPr>
        <w:t>$35 billion</w:t>
      </w:r>
      <w:r w:rsidRPr="00424778">
        <w:t xml:space="preserve"> of additional investment to provide 25 GW of new renewable energy and storage capacity by 2035.</w:t>
      </w:r>
    </w:p>
    <w:p w14:paraId="783FEB1F" w14:textId="77777777" w:rsidR="00EC49FE" w:rsidRPr="00424778" w:rsidRDefault="00EC49FE" w:rsidP="00EC49FE">
      <w:pPr>
        <w:pStyle w:val="BodyText"/>
      </w:pPr>
      <w:r w:rsidRPr="00424778">
        <w:t>Our transition to renewable energy is supported by strong targets set by the Victorian Government, creating significant opportunities for investors.</w:t>
      </w:r>
    </w:p>
    <w:p w14:paraId="472BF87A" w14:textId="77777777" w:rsidR="00EC49FE" w:rsidRPr="00424778" w:rsidRDefault="00EC49FE" w:rsidP="00EC49FE">
      <w:pPr>
        <w:pStyle w:val="Heading4"/>
      </w:pPr>
      <w:r w:rsidRPr="00424778">
        <w:t>Victoria’s Electricity Future</w:t>
      </w:r>
    </w:p>
    <w:p w14:paraId="7CE82FAA" w14:textId="77777777" w:rsidR="00EC49FE" w:rsidRDefault="00EC49FE" w:rsidP="00EC49FE">
      <w:pPr>
        <w:pStyle w:val="BodyText"/>
      </w:pPr>
      <w:r w:rsidRPr="00424778">
        <w:t>The Victorian Government has released its vision for Victoria’s future electricity system.</w:t>
      </w:r>
    </w:p>
    <w:p w14:paraId="72799AAB" w14:textId="77777777" w:rsidR="00EC49FE" w:rsidRDefault="00EC49FE" w:rsidP="00EC49FE">
      <w:pPr>
        <w:pStyle w:val="BodyText"/>
        <w:rPr>
          <w:lang w:val="en-AU"/>
        </w:rPr>
      </w:pPr>
      <w:r w:rsidRPr="00424778">
        <w:rPr>
          <w:lang w:val="en-AU"/>
        </w:rPr>
        <w:t>The Victoria Electricity Future is a four pillared plan that will enable the renewables big build, empower households and businesses to lower energy bills, manage the transition away from fossil fuels, create jobs, skills and supply chains.</w:t>
      </w:r>
    </w:p>
    <w:p w14:paraId="3E2F935F" w14:textId="77777777" w:rsidR="00EC49FE" w:rsidRDefault="00EC49FE" w:rsidP="00F15AAB">
      <w:pPr>
        <w:pStyle w:val="Heading4"/>
        <w:widowControl w:val="0"/>
      </w:pPr>
      <w:r>
        <w:t>L</w:t>
      </w:r>
      <w:r w:rsidRPr="00DD0D28">
        <w:t>egislated renewable energy targets</w:t>
      </w:r>
    </w:p>
    <w:p w14:paraId="42358A17" w14:textId="77777777" w:rsidR="00EC49FE" w:rsidRDefault="00EC49FE" w:rsidP="00EC49FE">
      <w:pPr>
        <w:pStyle w:val="BodyText"/>
        <w:spacing w:after="60"/>
      </w:pPr>
      <w:r w:rsidRPr="00DD0D28">
        <w:t>The Victorian Government has legislated renewable energy targets of:</w:t>
      </w:r>
    </w:p>
    <w:p w14:paraId="1AFF6162" w14:textId="77777777" w:rsidR="00EC49FE" w:rsidRDefault="00EC49FE" w:rsidP="00EC49FE">
      <w:pPr>
        <w:pStyle w:val="ListBullet"/>
      </w:pPr>
      <w:r>
        <w:t>40% by 2025</w:t>
      </w:r>
    </w:p>
    <w:p w14:paraId="5247BBF3" w14:textId="77777777" w:rsidR="00EC49FE" w:rsidRDefault="00EC49FE" w:rsidP="00EC49FE">
      <w:pPr>
        <w:pStyle w:val="ListBullet"/>
      </w:pPr>
      <w:r>
        <w:lastRenderedPageBreak/>
        <w:t>65% by 2030</w:t>
      </w:r>
    </w:p>
    <w:p w14:paraId="250240D5" w14:textId="77777777" w:rsidR="00EC49FE" w:rsidRDefault="00EC49FE" w:rsidP="00EC49FE">
      <w:pPr>
        <w:pStyle w:val="ListBullet"/>
      </w:pPr>
      <w:r>
        <w:t>95% by 2035</w:t>
      </w:r>
    </w:p>
    <w:p w14:paraId="627DDFE7" w14:textId="77777777" w:rsidR="00EC49FE" w:rsidRDefault="00EC49FE" w:rsidP="00EC49FE">
      <w:pPr>
        <w:pStyle w:val="ListBullet"/>
      </w:pPr>
      <w:r>
        <w:t>Net-Zero Emissions by 2045</w:t>
      </w:r>
    </w:p>
    <w:p w14:paraId="1203876C" w14:textId="77777777" w:rsidR="00EC49FE" w:rsidRPr="00E30706" w:rsidRDefault="00EC49FE" w:rsidP="00EC49FE">
      <w:pPr>
        <w:pStyle w:val="Heading5"/>
      </w:pPr>
      <w:r w:rsidRPr="00E30706">
        <w:t>Energy storage capacity targets of</w:t>
      </w:r>
      <w:r>
        <w:t xml:space="preserve"> </w:t>
      </w:r>
      <w:r w:rsidRPr="00E30706">
        <w:t>at least:</w:t>
      </w:r>
    </w:p>
    <w:p w14:paraId="2C6F004B" w14:textId="77777777" w:rsidR="00EC49FE" w:rsidRDefault="00EC49FE" w:rsidP="00EC49FE">
      <w:pPr>
        <w:pStyle w:val="ListBullet"/>
      </w:pPr>
      <w:r>
        <w:t>2.6 GW by 2030</w:t>
      </w:r>
    </w:p>
    <w:p w14:paraId="396B10B8" w14:textId="77777777" w:rsidR="00EC49FE" w:rsidRDefault="00EC49FE" w:rsidP="00EC49FE">
      <w:pPr>
        <w:pStyle w:val="ListBullet"/>
      </w:pPr>
      <w:r>
        <w:t>6.3 GW by 2035</w:t>
      </w:r>
    </w:p>
    <w:p w14:paraId="5B6D23A8" w14:textId="77777777" w:rsidR="00EC49FE" w:rsidRDefault="00EC49FE" w:rsidP="00EC49FE">
      <w:pPr>
        <w:pStyle w:val="Heading5"/>
      </w:pPr>
      <w:r w:rsidRPr="00E30706">
        <w:t>Offshore Wind Energy Targets:</w:t>
      </w:r>
    </w:p>
    <w:p w14:paraId="04FDC272" w14:textId="77777777" w:rsidR="00EC49FE" w:rsidRDefault="00EC49FE" w:rsidP="00EC49FE">
      <w:pPr>
        <w:pStyle w:val="ListBullet"/>
      </w:pPr>
      <w:r>
        <w:t>At least 2 GW by 2032</w:t>
      </w:r>
    </w:p>
    <w:p w14:paraId="16193DCC" w14:textId="77777777" w:rsidR="00EC49FE" w:rsidRDefault="00EC49FE" w:rsidP="00EC49FE">
      <w:pPr>
        <w:pStyle w:val="ListBullet"/>
      </w:pPr>
      <w:r>
        <w:t>4 GW by 2035</w:t>
      </w:r>
    </w:p>
    <w:p w14:paraId="61647F4B" w14:textId="77777777" w:rsidR="00EC49FE" w:rsidRDefault="00EC49FE" w:rsidP="00EC49FE">
      <w:pPr>
        <w:pStyle w:val="ListBullet"/>
      </w:pPr>
      <w:r>
        <w:t>9 GW by 2040</w:t>
      </w:r>
    </w:p>
    <w:p w14:paraId="67744553" w14:textId="77777777" w:rsidR="00EC49FE" w:rsidRDefault="00EC49FE" w:rsidP="00EC49FE">
      <w:pPr>
        <w:pStyle w:val="Heading4"/>
        <w:spacing w:before="360"/>
      </w:pPr>
      <w:r>
        <w:t>Further</w:t>
      </w:r>
      <w:r w:rsidRPr="006F293B">
        <w:t xml:space="preserve"> information</w:t>
      </w:r>
    </w:p>
    <w:p w14:paraId="21A0AF3E" w14:textId="6E497E31" w:rsidR="00EC49FE" w:rsidRDefault="00EC49FE" w:rsidP="00EC49FE">
      <w:pPr>
        <w:rPr>
          <w:rStyle w:val="Hyperlink"/>
        </w:rPr>
      </w:pPr>
      <w:r w:rsidRPr="00424778">
        <w:t xml:space="preserve">For more information, visit: </w:t>
      </w:r>
      <w:hyperlink r:id="rId22" w:tooltip="Hyperlink to Victoria's electricity future website" w:history="1">
        <w:r>
          <w:rPr>
            <w:rStyle w:val="Hyperlink"/>
          </w:rPr>
          <w:t>energy.vic.gov.au/renewable-energy/victorias-electricity-future</w:t>
        </w:r>
      </w:hyperlink>
    </w:p>
    <w:p w14:paraId="147AFE63" w14:textId="77777777" w:rsidR="00EC49FE" w:rsidRPr="00EC49FE" w:rsidRDefault="00EC49FE" w:rsidP="00EC49FE">
      <w:r w:rsidRPr="00EC49FE">
        <w:br w:type="page"/>
      </w:r>
    </w:p>
    <w:p w14:paraId="57A81F97" w14:textId="364D19BB" w:rsidR="00EC49FE" w:rsidRPr="001A3704" w:rsidRDefault="00EC49FE" w:rsidP="00EC49FE">
      <w:pPr>
        <w:pStyle w:val="Heading1"/>
      </w:pPr>
      <w:bookmarkStart w:id="4" w:name="_Toc179905025"/>
      <w:r w:rsidRPr="00EC49FE">
        <w:lastRenderedPageBreak/>
        <w:t>Victoria’s world-leading wind resource</w:t>
      </w:r>
      <w:bookmarkEnd w:id="4"/>
    </w:p>
    <w:p w14:paraId="67D0D1EC" w14:textId="77777777" w:rsidR="00EC49FE" w:rsidRPr="001A3704" w:rsidRDefault="00EC49FE" w:rsidP="00EC49FE">
      <w:pPr>
        <w:pStyle w:val="SectionIntroParagraph"/>
      </w:pPr>
      <w:r w:rsidRPr="001A3704">
        <w:t>Victoria boasts excellent wind resources, with an average wind speed of 8.4 m/s in Western Victoria and 7.2 m/s in the southwest.</w:t>
      </w:r>
    </w:p>
    <w:p w14:paraId="5112446B" w14:textId="77777777" w:rsidR="00EC49FE" w:rsidRPr="001A3704" w:rsidRDefault="00EC49FE" w:rsidP="00EC49FE">
      <w:pPr>
        <w:pStyle w:val="BodyText"/>
      </w:pPr>
      <w:r w:rsidRPr="001A3704">
        <w:t>Victoria has been a location of choice for wind developers since the early 2000s. Our state’s wind resource is among the best in the world.</w:t>
      </w:r>
    </w:p>
    <w:p w14:paraId="44D7961C" w14:textId="77777777" w:rsidR="00EC49FE" w:rsidRDefault="00EC49FE" w:rsidP="00EC49FE">
      <w:pPr>
        <w:pStyle w:val="BodyText"/>
        <w:ind w:right="-143"/>
        <w:rPr>
          <w:lang w:val="en-AU"/>
        </w:rPr>
      </w:pPr>
      <w:r w:rsidRPr="001A3704">
        <w:rPr>
          <w:lang w:val="en-AU"/>
        </w:rPr>
        <w:t>Victoria’s southern coastline, which lies in the path of the strong westerly wind belt between 35˚ and 60˚ latitudes, boasts high average wind speeds exceeding 8 m/s in many areas.</w:t>
      </w:r>
    </w:p>
    <w:p w14:paraId="1DA696D3" w14:textId="77777777" w:rsidR="00EC49FE" w:rsidRDefault="00EC49FE" w:rsidP="00EC49FE">
      <w:pPr>
        <w:pStyle w:val="Caption"/>
        <w:keepNext/>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FE1AA2">
        <w:t>Snapshot of the sector (as of October 2024)</w:t>
      </w:r>
    </w:p>
    <w:tbl>
      <w:tblPr>
        <w:tblStyle w:val="Style2"/>
        <w:tblW w:w="0" w:type="auto"/>
        <w:tblLayout w:type="fixed"/>
        <w:tblLook w:val="0020" w:firstRow="1" w:lastRow="0" w:firstColumn="0" w:lastColumn="0" w:noHBand="0" w:noVBand="0"/>
      </w:tblPr>
      <w:tblGrid>
        <w:gridCol w:w="3987"/>
        <w:gridCol w:w="3468"/>
      </w:tblGrid>
      <w:tr w:rsidR="00EC49FE" w:rsidRPr="001A3704" w14:paraId="1EB2D856" w14:textId="77777777" w:rsidTr="00186AD9">
        <w:trPr>
          <w:cnfStyle w:val="100000000000" w:firstRow="1" w:lastRow="0" w:firstColumn="0" w:lastColumn="0" w:oddVBand="0" w:evenVBand="0" w:oddHBand="0" w:evenHBand="0" w:firstRowFirstColumn="0" w:firstRowLastColumn="0" w:lastRowFirstColumn="0" w:lastRowLastColumn="0"/>
          <w:trHeight w:val="60"/>
        </w:trPr>
        <w:tc>
          <w:tcPr>
            <w:tcW w:w="3987" w:type="dxa"/>
          </w:tcPr>
          <w:p w14:paraId="1AF4F0A6" w14:textId="77777777" w:rsidR="00EC49FE" w:rsidRPr="001A3704" w:rsidRDefault="00EC49FE" w:rsidP="00186AD9">
            <w:pPr>
              <w:pStyle w:val="Tabletext"/>
              <w:spacing w:line="240" w:lineRule="auto"/>
            </w:pPr>
            <w:r w:rsidRPr="001A3704">
              <w:t>N</w:t>
            </w:r>
            <w:r>
              <w:t>umber</w:t>
            </w:r>
            <w:r w:rsidRPr="001A3704">
              <w:t xml:space="preserve"> of wind farms</w:t>
            </w:r>
          </w:p>
        </w:tc>
        <w:tc>
          <w:tcPr>
            <w:tcW w:w="3468" w:type="dxa"/>
          </w:tcPr>
          <w:p w14:paraId="41C0DB88" w14:textId="77777777" w:rsidR="00EC49FE" w:rsidRPr="001A3704" w:rsidRDefault="00EC49FE" w:rsidP="00186AD9">
            <w:pPr>
              <w:pStyle w:val="Tabletext"/>
              <w:spacing w:line="240" w:lineRule="auto"/>
            </w:pPr>
            <w:r w:rsidRPr="001A3704">
              <w:t>Combined capacity</w:t>
            </w:r>
          </w:p>
        </w:tc>
      </w:tr>
      <w:tr w:rsidR="00EC49FE" w:rsidRPr="001A3704" w14:paraId="2FA44CF4" w14:textId="77777777" w:rsidTr="00186AD9">
        <w:trPr>
          <w:trHeight w:val="60"/>
        </w:trPr>
        <w:tc>
          <w:tcPr>
            <w:tcW w:w="3987" w:type="dxa"/>
          </w:tcPr>
          <w:p w14:paraId="4E220C3F" w14:textId="77777777" w:rsidR="00EC49FE" w:rsidRPr="001A3704" w:rsidRDefault="00EC49FE" w:rsidP="00186AD9">
            <w:pPr>
              <w:pStyle w:val="Tabletext"/>
            </w:pPr>
            <w:r w:rsidRPr="00E3689F">
              <w:rPr>
                <w:b/>
                <w:bCs/>
              </w:rPr>
              <w:t>42</w:t>
            </w:r>
            <w:r w:rsidRPr="001A3704">
              <w:t xml:space="preserve"> operating</w:t>
            </w:r>
          </w:p>
        </w:tc>
        <w:tc>
          <w:tcPr>
            <w:tcW w:w="3468" w:type="dxa"/>
          </w:tcPr>
          <w:p w14:paraId="0B3C9EC9" w14:textId="77777777" w:rsidR="00EC49FE" w:rsidRPr="001A3704" w:rsidRDefault="00EC49FE" w:rsidP="00186AD9">
            <w:pPr>
              <w:pStyle w:val="Tabletext"/>
              <w:rPr>
                <w:b/>
                <w:bCs/>
              </w:rPr>
            </w:pPr>
            <w:r w:rsidRPr="001A3704">
              <w:rPr>
                <w:b/>
                <w:bCs/>
              </w:rPr>
              <w:t>4,734 MW</w:t>
            </w:r>
          </w:p>
        </w:tc>
      </w:tr>
      <w:tr w:rsidR="00EC49FE" w:rsidRPr="001A3704" w14:paraId="19941570" w14:textId="77777777" w:rsidTr="00186AD9">
        <w:trPr>
          <w:trHeight w:val="60"/>
        </w:trPr>
        <w:tc>
          <w:tcPr>
            <w:tcW w:w="3987" w:type="dxa"/>
          </w:tcPr>
          <w:p w14:paraId="4D28EE81" w14:textId="77777777" w:rsidR="00EC49FE" w:rsidRPr="001A3704" w:rsidRDefault="00EC49FE" w:rsidP="00186AD9">
            <w:pPr>
              <w:pStyle w:val="Tabletext"/>
            </w:pPr>
            <w:r w:rsidRPr="00E3689F">
              <w:rPr>
                <w:b/>
                <w:bCs/>
              </w:rPr>
              <w:t>2</w:t>
            </w:r>
            <w:r w:rsidRPr="001A3704">
              <w:t xml:space="preserve"> under construction</w:t>
            </w:r>
          </w:p>
        </w:tc>
        <w:tc>
          <w:tcPr>
            <w:tcW w:w="3468" w:type="dxa"/>
          </w:tcPr>
          <w:p w14:paraId="365297BE" w14:textId="77777777" w:rsidR="00EC49FE" w:rsidRPr="001A3704" w:rsidRDefault="00EC49FE" w:rsidP="00186AD9">
            <w:pPr>
              <w:pStyle w:val="Tabletext"/>
              <w:rPr>
                <w:b/>
                <w:bCs/>
              </w:rPr>
            </w:pPr>
            <w:r w:rsidRPr="001A3704">
              <w:rPr>
                <w:b/>
                <w:bCs/>
              </w:rPr>
              <w:t>1,333 MW</w:t>
            </w:r>
          </w:p>
        </w:tc>
      </w:tr>
      <w:tr w:rsidR="00EC49FE" w:rsidRPr="001A3704" w14:paraId="0FDFA6D1" w14:textId="77777777" w:rsidTr="00186AD9">
        <w:trPr>
          <w:trHeight w:val="60"/>
        </w:trPr>
        <w:tc>
          <w:tcPr>
            <w:tcW w:w="3987" w:type="dxa"/>
          </w:tcPr>
          <w:p w14:paraId="6107331E" w14:textId="77777777" w:rsidR="00EC49FE" w:rsidRPr="001A3704" w:rsidRDefault="00EC49FE" w:rsidP="00186AD9">
            <w:pPr>
              <w:pStyle w:val="Tabletext"/>
            </w:pPr>
            <w:r w:rsidRPr="00E3689F">
              <w:rPr>
                <w:b/>
                <w:bCs/>
              </w:rPr>
              <w:t>7</w:t>
            </w:r>
            <w:r w:rsidRPr="001A3704">
              <w:t xml:space="preserve"> granted development approval</w:t>
            </w:r>
          </w:p>
        </w:tc>
        <w:tc>
          <w:tcPr>
            <w:tcW w:w="3468" w:type="dxa"/>
          </w:tcPr>
          <w:p w14:paraId="6C40E009" w14:textId="77777777" w:rsidR="00EC49FE" w:rsidRPr="001A3704" w:rsidRDefault="00EC49FE" w:rsidP="00186AD9">
            <w:pPr>
              <w:pStyle w:val="Tabletext"/>
              <w:rPr>
                <w:b/>
                <w:bCs/>
              </w:rPr>
            </w:pPr>
            <w:r w:rsidRPr="001A3704">
              <w:rPr>
                <w:b/>
                <w:bCs/>
              </w:rPr>
              <w:t>759 MW</w:t>
            </w:r>
          </w:p>
        </w:tc>
      </w:tr>
      <w:tr w:rsidR="00EC49FE" w:rsidRPr="001A3704" w14:paraId="43F3607A" w14:textId="77777777" w:rsidTr="00186AD9">
        <w:trPr>
          <w:trHeight w:val="60"/>
        </w:trPr>
        <w:tc>
          <w:tcPr>
            <w:tcW w:w="3987" w:type="dxa"/>
          </w:tcPr>
          <w:p w14:paraId="120F68D6" w14:textId="77777777" w:rsidR="00EC49FE" w:rsidRPr="001A3704" w:rsidRDefault="00EC49FE" w:rsidP="00186AD9">
            <w:pPr>
              <w:pStyle w:val="Tabletext"/>
              <w:rPr>
                <w:b/>
                <w:bCs/>
              </w:rPr>
            </w:pPr>
            <w:r w:rsidRPr="001A3704">
              <w:rPr>
                <w:b/>
                <w:bCs/>
              </w:rPr>
              <w:t>Total</w:t>
            </w:r>
          </w:p>
        </w:tc>
        <w:tc>
          <w:tcPr>
            <w:tcW w:w="3468" w:type="dxa"/>
          </w:tcPr>
          <w:p w14:paraId="7435831A" w14:textId="77777777" w:rsidR="00EC49FE" w:rsidRPr="001A3704" w:rsidRDefault="00EC49FE" w:rsidP="00186AD9">
            <w:pPr>
              <w:pStyle w:val="Tabletext"/>
              <w:rPr>
                <w:b/>
                <w:bCs/>
              </w:rPr>
            </w:pPr>
            <w:r w:rsidRPr="001A3704">
              <w:rPr>
                <w:b/>
                <w:bCs/>
              </w:rPr>
              <w:t>6,826 MW</w:t>
            </w:r>
          </w:p>
        </w:tc>
      </w:tr>
    </w:tbl>
    <w:p w14:paraId="6AC8EEAD" w14:textId="77777777" w:rsidR="00EC49FE" w:rsidRDefault="00EC49FE" w:rsidP="00EC49FE">
      <w:pPr>
        <w:pStyle w:val="BodyText"/>
        <w:spacing w:before="360" w:after="0"/>
      </w:pPr>
      <w:r>
        <w:t>(</w:t>
      </w:r>
      <w:r w:rsidRPr="001A3704">
        <w:rPr>
          <w:b/>
          <w:bCs/>
        </w:rPr>
        <w:t>Note:</w:t>
      </w:r>
      <w:r>
        <w:t xml:space="preserve"> </w:t>
      </w:r>
      <w:r w:rsidRPr="001A3704">
        <w:t>Internal register figures from the Department of Energy, Environment and Climate Action, October 2024</w:t>
      </w:r>
      <w:r>
        <w:t>)</w:t>
      </w:r>
    </w:p>
    <w:p w14:paraId="5013D9AE" w14:textId="032CAA50" w:rsidR="00EC49FE" w:rsidRPr="001F6A53" w:rsidRDefault="00EC49FE" w:rsidP="00EC49FE">
      <w:pPr>
        <w:pStyle w:val="Caption"/>
        <w:keepNext/>
        <w:rPr>
          <w:bCs/>
          <w:lang w:val="en-GB"/>
        </w:rPr>
      </w:pPr>
      <w:r>
        <w:lastRenderedPageBreak/>
        <w:t xml:space="preserve">Figure </w:t>
      </w:r>
      <w:r w:rsidR="00937FC6">
        <w:fldChar w:fldCharType="begin"/>
      </w:r>
      <w:r w:rsidR="00937FC6">
        <w:instrText xml:space="preserve"> SEQ Figure \* ARABIC </w:instrText>
      </w:r>
      <w:r w:rsidR="00937FC6">
        <w:fldChar w:fldCharType="separate"/>
      </w:r>
      <w:r w:rsidR="00937FC6">
        <w:rPr>
          <w:noProof/>
        </w:rPr>
        <w:t>1</w:t>
      </w:r>
      <w:r w:rsidR="00937FC6">
        <w:rPr>
          <w:noProof/>
        </w:rPr>
        <w:fldChar w:fldCharType="end"/>
      </w:r>
      <w:r>
        <w:t xml:space="preserve">: </w:t>
      </w:r>
      <w:r w:rsidRPr="001F7A12">
        <w:t>Victoria’s average yearly wind speed</w:t>
      </w:r>
      <w:r>
        <w:t xml:space="preserve"> </w:t>
      </w:r>
      <w:r w:rsidRPr="001F6A53">
        <w:rPr>
          <w:b w:val="0"/>
          <w:bCs/>
        </w:rPr>
        <w:t>(</w:t>
      </w:r>
      <w:r w:rsidRPr="001F6A53">
        <w:rPr>
          <w:b w:val="0"/>
          <w:bCs/>
          <w:lang w:val="en-GB"/>
        </w:rPr>
        <w:t>Source: GeoVic, Resources Victoria)</w:t>
      </w:r>
    </w:p>
    <w:p w14:paraId="7CFF77AA" w14:textId="77777777" w:rsidR="00EC49FE" w:rsidRDefault="00EC49FE" w:rsidP="00EC49FE">
      <w:pPr>
        <w:pStyle w:val="BodyText"/>
      </w:pPr>
      <w:r>
        <w:rPr>
          <w:noProof/>
        </w:rPr>
        <w:drawing>
          <wp:inline distT="0" distB="0" distL="0" distR="0" wp14:anchorId="7398C493" wp14:editId="0EA13FB8">
            <wp:extent cx="6120130" cy="4091305"/>
            <wp:effectExtent l="0" t="0" r="0" b="0"/>
            <wp:docPr id="456235589" name="Picture 4" descr="a map of Victoria’s average yearly wind sp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35589" name="Picture 4" descr="a map of Victoria’s average yearly wind speed "/>
                    <pic:cNvPicPr/>
                  </pic:nvPicPr>
                  <pic:blipFill>
                    <a:blip r:embed="rId23" cstate="screen">
                      <a:extLst>
                        <a:ext uri="{28A0092B-C50C-407E-A947-70E740481C1C}">
                          <a14:useLocalDpi xmlns:a14="http://schemas.microsoft.com/office/drawing/2010/main"/>
                        </a:ext>
                      </a:extLst>
                    </a:blip>
                    <a:stretch>
                      <a:fillRect/>
                    </a:stretch>
                  </pic:blipFill>
                  <pic:spPr>
                    <a:xfrm>
                      <a:off x="0" y="0"/>
                      <a:ext cx="6120130" cy="4091305"/>
                    </a:xfrm>
                    <a:prstGeom prst="rect">
                      <a:avLst/>
                    </a:prstGeom>
                  </pic:spPr>
                </pic:pic>
              </a:graphicData>
            </a:graphic>
          </wp:inline>
        </w:drawing>
      </w:r>
    </w:p>
    <w:p w14:paraId="34BF6811" w14:textId="77777777" w:rsidR="00EC49FE" w:rsidRDefault="00EC49FE">
      <w:pPr>
        <w:suppressAutoHyphens w:val="0"/>
        <w:spacing w:after="160"/>
        <w:rPr>
          <w:rFonts w:cs="Times New Roman (Body CS)"/>
          <w:kern w:val="24"/>
          <w:lang w:val="en-GB"/>
        </w:rPr>
      </w:pPr>
      <w:r>
        <w:br w:type="page"/>
      </w:r>
    </w:p>
    <w:p w14:paraId="7453E5AF" w14:textId="77777777" w:rsidR="00EC49FE" w:rsidRPr="00D80713" w:rsidRDefault="00EC49FE" w:rsidP="00EC49FE">
      <w:pPr>
        <w:pStyle w:val="Heading1"/>
      </w:pPr>
      <w:bookmarkStart w:id="5" w:name="_Toc179468024"/>
      <w:bookmarkStart w:id="6" w:name="_Toc179905026"/>
      <w:r w:rsidRPr="00D80713">
        <w:lastRenderedPageBreak/>
        <w:t>VicGrid – shaping Victoria’s future</w:t>
      </w:r>
      <w:r>
        <w:t xml:space="preserve"> </w:t>
      </w:r>
      <w:r w:rsidRPr="00D80713">
        <w:t>grid</w:t>
      </w:r>
      <w:bookmarkEnd w:id="5"/>
      <w:bookmarkEnd w:id="6"/>
    </w:p>
    <w:p w14:paraId="519F5798" w14:textId="77777777" w:rsidR="00EC49FE" w:rsidRPr="00D80713" w:rsidRDefault="00EC49FE" w:rsidP="00EC49FE">
      <w:pPr>
        <w:pStyle w:val="SectionIntroParagraph"/>
      </w:pPr>
      <w:r w:rsidRPr="00D80713">
        <w:t>VicGrid is changing the way Renewable Energy Zones are planned and developed and</w:t>
      </w:r>
      <w:r>
        <w:t xml:space="preserve"> </w:t>
      </w:r>
      <w:r w:rsidRPr="00D80713">
        <w:t>delivering the infrastructure Victoria needs to connect renewable energy sources</w:t>
      </w:r>
      <w:r>
        <w:t xml:space="preserve"> </w:t>
      </w:r>
      <w:r w:rsidRPr="00D80713">
        <w:t>to the grid.</w:t>
      </w:r>
    </w:p>
    <w:p w14:paraId="68F04725" w14:textId="77777777" w:rsidR="00EC49FE" w:rsidRPr="00D80713" w:rsidRDefault="00EC49FE" w:rsidP="00EC49FE">
      <w:pPr>
        <w:pStyle w:val="Heading4"/>
      </w:pPr>
      <w:r w:rsidRPr="00D80713">
        <w:t>As part of its role, VicGrid is:</w:t>
      </w:r>
    </w:p>
    <w:p w14:paraId="64E649FB" w14:textId="77777777" w:rsidR="00EC49FE" w:rsidRPr="00D80713" w:rsidRDefault="00EC49FE" w:rsidP="00EC49FE">
      <w:pPr>
        <w:pStyle w:val="ListBullet"/>
      </w:pPr>
      <w:r w:rsidRPr="00D80713">
        <w:t>Introducing a strategic and proactive process to ensure timely coordination of investment in transmission, generation and storage infrastructure across our Renewable Energy Zones.</w:t>
      </w:r>
    </w:p>
    <w:p w14:paraId="71B0FF77" w14:textId="77777777" w:rsidR="00EC49FE" w:rsidRPr="00D80713" w:rsidRDefault="00EC49FE" w:rsidP="00EC49FE">
      <w:pPr>
        <w:pStyle w:val="ListBullet"/>
      </w:pPr>
      <w:r w:rsidRPr="00D80713">
        <w:t>Delivering the Victorian Transmission Plan which will give industry a clear picture of the state’s long term strategic plan and identify priority areas for investment to be released in</w:t>
      </w:r>
      <w:r>
        <w:t xml:space="preserve"> </w:t>
      </w:r>
      <w:r w:rsidRPr="00D80713">
        <w:t>2025.</w:t>
      </w:r>
    </w:p>
    <w:p w14:paraId="2E457DE7" w14:textId="77777777" w:rsidR="00EC49FE" w:rsidRPr="00D80713" w:rsidRDefault="00EC49FE" w:rsidP="00EC49FE">
      <w:pPr>
        <w:pStyle w:val="ListBullet"/>
      </w:pPr>
      <w:r w:rsidRPr="00D80713">
        <w:t>Implementing the Victorian Access Regime to give industry certainty of access to the network and reduce the risk of curtailment.</w:t>
      </w:r>
    </w:p>
    <w:p w14:paraId="3AFBE28E" w14:textId="77777777" w:rsidR="00EC49FE" w:rsidRDefault="00EC49FE" w:rsidP="00EC49FE">
      <w:pPr>
        <w:pStyle w:val="ListBullet"/>
      </w:pPr>
      <w:r w:rsidRPr="00D80713">
        <w:t>Designing and procuring major projects like the transmission to support offshore wind.</w:t>
      </w:r>
    </w:p>
    <w:p w14:paraId="6C2F410B" w14:textId="77777777" w:rsidR="00EC49FE" w:rsidRDefault="00EC49FE" w:rsidP="00EC49FE">
      <w:pPr>
        <w:pStyle w:val="ListBullet"/>
        <w:rPr>
          <w:lang w:val="en-AU"/>
        </w:rPr>
      </w:pPr>
      <w:r w:rsidRPr="00D80713">
        <w:rPr>
          <w:lang w:val="en-AU"/>
        </w:rPr>
        <w:t>Managing the $480 million already committed across 12 projects to address known capacity constraints to maximise Victoria’s renewable energy potential.</w:t>
      </w:r>
    </w:p>
    <w:p w14:paraId="6BDF2C91" w14:textId="77777777" w:rsidR="00EC49FE" w:rsidRDefault="00EC49FE" w:rsidP="00EC49FE">
      <w:pPr>
        <w:suppressAutoHyphens w:val="0"/>
        <w:spacing w:after="160"/>
        <w:rPr>
          <w:rFonts w:cs="Times New Roman (Body CS)"/>
          <w:kern w:val="24"/>
        </w:rPr>
      </w:pPr>
      <w:r>
        <w:br w:type="page"/>
      </w:r>
    </w:p>
    <w:p w14:paraId="6BBDB454" w14:textId="77777777" w:rsidR="00EC49FE" w:rsidRDefault="00EC49FE" w:rsidP="00EC49FE">
      <w:pPr>
        <w:pStyle w:val="Heading1"/>
      </w:pPr>
      <w:bookmarkStart w:id="7" w:name="_Toc179468025"/>
      <w:bookmarkStart w:id="8" w:name="_Toc179905027"/>
      <w:r w:rsidRPr="00D80713">
        <w:lastRenderedPageBreak/>
        <w:t>Flagship investments enabling</w:t>
      </w:r>
      <w:r>
        <w:t xml:space="preserve"> </w:t>
      </w:r>
      <w:r w:rsidRPr="00D80713">
        <w:t>new</w:t>
      </w:r>
      <w:r>
        <w:t xml:space="preserve"> </w:t>
      </w:r>
      <w:r w:rsidRPr="00D80713">
        <w:t>project</w:t>
      </w:r>
      <w:r>
        <w:t xml:space="preserve"> </w:t>
      </w:r>
      <w:r w:rsidRPr="00D80713">
        <w:t>connections</w:t>
      </w:r>
      <w:bookmarkEnd w:id="7"/>
      <w:bookmarkEnd w:id="8"/>
    </w:p>
    <w:p w14:paraId="67BBEBE1" w14:textId="77777777" w:rsidR="00EC49FE" w:rsidRDefault="00EC49FE" w:rsidP="00EC49FE">
      <w:pPr>
        <w:pStyle w:val="SectionIntroParagraph"/>
      </w:pPr>
      <w:r w:rsidRPr="00D80713">
        <w:t>VicGrid is working in partnership to deliver flagship projects that will not only unlock significant new generation and storage, but present strong investment opportunities in their own right.</w:t>
      </w:r>
    </w:p>
    <w:p w14:paraId="2F551033" w14:textId="77777777" w:rsidR="00EC49FE" w:rsidRDefault="00EC49FE" w:rsidP="00EC49FE">
      <w:pPr>
        <w:pStyle w:val="Heading4"/>
      </w:pPr>
      <w:r w:rsidRPr="00D80713">
        <w:t>Victoria to New South Wales Interconnector West (VNI West)</w:t>
      </w:r>
    </w:p>
    <w:p w14:paraId="6D5B38DC" w14:textId="77777777" w:rsidR="00EC49FE" w:rsidRPr="00D80713" w:rsidRDefault="00EC49FE" w:rsidP="00EC49FE">
      <w:pPr>
        <w:pStyle w:val="BodyText"/>
      </w:pPr>
      <w:r w:rsidRPr="00D80713">
        <w:t>A proposed high-capacity 500 kV double-circuit overhead transmission line between Victoria and New South Wales, VNI West will allow up to 2.7 gigawatts of new generation across both states. It will also connect Victorian electricity generation and storage to load centres across the border, enabling increased export opportunities to other states.</w:t>
      </w:r>
    </w:p>
    <w:p w14:paraId="5FA142EF" w14:textId="77777777" w:rsidR="00EC49FE" w:rsidRPr="00D80713" w:rsidRDefault="00EC49FE" w:rsidP="00EC49FE">
      <w:pPr>
        <w:pStyle w:val="Heading4"/>
      </w:pPr>
      <w:r w:rsidRPr="00D80713">
        <w:t>Marinus Link</w:t>
      </w:r>
    </w:p>
    <w:p w14:paraId="4891C422" w14:textId="77777777" w:rsidR="00EC49FE" w:rsidRPr="00D80713" w:rsidRDefault="00EC49FE" w:rsidP="00EC49FE">
      <w:pPr>
        <w:pStyle w:val="BodyText"/>
      </w:pPr>
      <w:r w:rsidRPr="00D80713">
        <w:t>A proposed high voltage direct current interconnector comprising 250km of undersea and 90km of underground cables, which will enable the neighbouring state of Tasmania to import excess supply of solar and wind produced in Victoria.</w:t>
      </w:r>
    </w:p>
    <w:p w14:paraId="1B1E291E" w14:textId="77777777" w:rsidR="00EC49FE" w:rsidRPr="00D80713" w:rsidRDefault="00EC49FE" w:rsidP="00EC49FE">
      <w:pPr>
        <w:pStyle w:val="Heading4"/>
      </w:pPr>
      <w:r w:rsidRPr="00D80713">
        <w:t>Gippsland Offshore Wind</w:t>
      </w:r>
    </w:p>
    <w:p w14:paraId="6F1C126D" w14:textId="77777777" w:rsidR="00EC49FE" w:rsidRDefault="00EC49FE" w:rsidP="00EC49FE">
      <w:pPr>
        <w:pStyle w:val="BodyText"/>
        <w:spacing w:after="360"/>
      </w:pPr>
      <w:r w:rsidRPr="00D80713">
        <w:t>VicGrid is leading a coordinated approach to transmission infrastructure development for offshore wind generation in Gippsland. The proposed transmission technology will be either a double circuit 330 kV or a 500 kV overhead transmission line, with next steps being to refine this area to a corridor (and then</w:t>
      </w:r>
      <w:r>
        <w:t xml:space="preserve"> </w:t>
      </w:r>
      <w:r w:rsidRPr="00D80713">
        <w:t>a route).</w:t>
      </w:r>
    </w:p>
    <w:p w14:paraId="22FBD816" w14:textId="77777777" w:rsidR="00EC49FE" w:rsidRDefault="00EC49FE" w:rsidP="00EC49FE">
      <w:pPr>
        <w:pStyle w:val="BodyText"/>
        <w:rPr>
          <w:u w:val="thick"/>
        </w:rPr>
      </w:pPr>
      <w:r w:rsidRPr="00D80713">
        <w:t xml:space="preserve">To register interest in these investment opportunities or to find out more, please email: </w:t>
      </w:r>
      <w:r w:rsidRPr="00D80713">
        <w:br/>
      </w:r>
      <w:hyperlink r:id="rId24" w:tooltip="Send an email to VicGrid" w:history="1">
        <w:r w:rsidRPr="00DB4690">
          <w:rPr>
            <w:rStyle w:val="Hyperlink"/>
          </w:rPr>
          <w:t>market.engagement.vicgrid@deeca.vic.gov.au</w:t>
        </w:r>
      </w:hyperlink>
    </w:p>
    <w:p w14:paraId="021DB8EE" w14:textId="77777777" w:rsidR="00F268B4" w:rsidRPr="00403A0C" w:rsidRDefault="00F268B4" w:rsidP="00F268B4">
      <w:pPr>
        <w:pStyle w:val="Heading1"/>
      </w:pPr>
      <w:bookmarkStart w:id="9" w:name="_Toc179468020"/>
      <w:bookmarkStart w:id="10" w:name="_Toc179905028"/>
      <w:r w:rsidRPr="00403A0C">
        <w:lastRenderedPageBreak/>
        <w:t>Powering Victoria’s renewable energy future</w:t>
      </w:r>
      <w:bookmarkEnd w:id="9"/>
      <w:bookmarkEnd w:id="10"/>
    </w:p>
    <w:p w14:paraId="494C4107" w14:textId="77777777" w:rsidR="00F268B4" w:rsidRPr="00403A0C" w:rsidRDefault="00F268B4" w:rsidP="00F268B4">
      <w:pPr>
        <w:pStyle w:val="Heading4"/>
      </w:pPr>
      <w:r w:rsidRPr="00403A0C">
        <w:t>What is the SEC?</w:t>
      </w:r>
    </w:p>
    <w:p w14:paraId="0D6776BA" w14:textId="77777777" w:rsidR="00F268B4" w:rsidRPr="00403A0C" w:rsidRDefault="00F268B4" w:rsidP="00F268B4">
      <w:pPr>
        <w:pStyle w:val="BodyText"/>
        <w:spacing w:after="60"/>
      </w:pPr>
      <w:r w:rsidRPr="00403A0C">
        <w:t>The SEC is a government-owned renewable energy company that:</w:t>
      </w:r>
    </w:p>
    <w:p w14:paraId="55426522" w14:textId="77777777" w:rsidR="00F268B4" w:rsidRPr="00403A0C" w:rsidRDefault="00F268B4" w:rsidP="00F268B4">
      <w:pPr>
        <w:pStyle w:val="ListBullet"/>
      </w:pPr>
      <w:r w:rsidRPr="00403A0C">
        <w:t>invests in renewable energy and storage projects that accelerate the energy transition and deliver sustainable returns</w:t>
      </w:r>
    </w:p>
    <w:p w14:paraId="6F2E9F97" w14:textId="77777777" w:rsidR="00F268B4" w:rsidRPr="00403A0C" w:rsidRDefault="00F268B4" w:rsidP="00F268B4">
      <w:pPr>
        <w:pStyle w:val="ListBullet"/>
      </w:pPr>
      <w:r w:rsidRPr="00403A0C">
        <w:t>supports households to go all-electric to reduce their energy bills and emissions</w:t>
      </w:r>
    </w:p>
    <w:p w14:paraId="6AAD66AE" w14:textId="77777777" w:rsidR="00F268B4" w:rsidRPr="00403A0C" w:rsidRDefault="00F268B4" w:rsidP="00F268B4">
      <w:pPr>
        <w:pStyle w:val="ListBullet"/>
      </w:pPr>
      <w:r w:rsidRPr="00403A0C">
        <w:t>builds the renewable energy workforce our energy transition requires.</w:t>
      </w:r>
    </w:p>
    <w:p w14:paraId="19490099" w14:textId="77777777" w:rsidR="00F268B4" w:rsidRPr="00403A0C" w:rsidRDefault="00F268B4" w:rsidP="00F268B4">
      <w:pPr>
        <w:pStyle w:val="Heading4"/>
      </w:pPr>
      <w:r w:rsidRPr="00403A0C">
        <w:t>How the SEC invests:</w:t>
      </w:r>
    </w:p>
    <w:p w14:paraId="20A8A9D4" w14:textId="77777777" w:rsidR="00F268B4" w:rsidRPr="00403A0C" w:rsidRDefault="00F268B4" w:rsidP="00F268B4">
      <w:pPr>
        <w:pStyle w:val="BodyText"/>
      </w:pPr>
      <w:r w:rsidRPr="00403A0C">
        <w:t>By 2035, Victoria will need 25 GW of new renewable energy and storage capacity. The SEC will contribute to this by investing an initial $1 billion towards delivering 4.5 GW of new renewable energy generation and storage. Its work will ensure Victorian households and businesses continue to have the power they need as we transition to renewable energy.</w:t>
      </w:r>
    </w:p>
    <w:p w14:paraId="0187DEFE" w14:textId="77777777" w:rsidR="00F268B4" w:rsidRPr="00403A0C" w:rsidRDefault="00F268B4" w:rsidP="00F268B4">
      <w:pPr>
        <w:pStyle w:val="BodyText"/>
      </w:pPr>
      <w:r w:rsidRPr="00403A0C">
        <w:t>The SEC’s investments include opportunities in renewable generation and storage. Utility-scale storage can address critical system gaps and help catalyse investment in large wind and solar generation to replace ageing coal assets. The organisation will also continue to explore emerging technologies, including long duration energy storage opportunities, that accelerate the sector's maturity and global competitiveness.</w:t>
      </w:r>
    </w:p>
    <w:p w14:paraId="548279DC" w14:textId="77777777" w:rsidR="00F268B4" w:rsidRDefault="00F268B4" w:rsidP="00F268B4">
      <w:pPr>
        <w:pStyle w:val="BodyText"/>
        <w:rPr>
          <w:lang w:val="en-AU"/>
        </w:rPr>
      </w:pPr>
      <w:r w:rsidRPr="00403A0C">
        <w:rPr>
          <w:lang w:val="en-AU"/>
        </w:rPr>
        <w:t>The SEC’s investments focus is on achieving sustainable returns while delivering broader benefits to the Victorian public and enabling the market.</w:t>
      </w:r>
    </w:p>
    <w:p w14:paraId="2C89C09F" w14:textId="53457962" w:rsidR="00F268B4" w:rsidRPr="00403A0C" w:rsidRDefault="00F268B4" w:rsidP="00F268B4">
      <w:pPr>
        <w:pStyle w:val="BodyText"/>
        <w:rPr>
          <w:u w:val="thick"/>
        </w:rPr>
      </w:pPr>
      <w:r w:rsidRPr="00403A0C">
        <w:t xml:space="preserve">Find more information, visit: </w:t>
      </w:r>
      <w:hyperlink r:id="rId25" w:tooltip="Hyperlink to the State Electricity Commission website" w:history="1">
        <w:r w:rsidR="005D5D7F">
          <w:rPr>
            <w:rStyle w:val="Hyperlink"/>
          </w:rPr>
          <w:t>secvictoria.com.au</w:t>
        </w:r>
      </w:hyperlink>
    </w:p>
    <w:p w14:paraId="3BAF4E95" w14:textId="77777777" w:rsidR="00F268B4" w:rsidRPr="00403A0C" w:rsidRDefault="00F268B4" w:rsidP="00F268B4">
      <w:pPr>
        <w:pStyle w:val="Heading4"/>
      </w:pPr>
      <w:r w:rsidRPr="00403A0C">
        <w:lastRenderedPageBreak/>
        <w:t>The Melbourne Renewable Energy Hub</w:t>
      </w:r>
    </w:p>
    <w:p w14:paraId="4F667428" w14:textId="77777777" w:rsidR="00F268B4" w:rsidRPr="00403A0C" w:rsidRDefault="00F268B4" w:rsidP="00F268B4">
      <w:pPr>
        <w:pStyle w:val="BodyText"/>
      </w:pPr>
      <w:r w:rsidRPr="00403A0C">
        <w:t>The SEC is accelerating the renewable energy transition by investing in one of the world’s biggest battery projects – the</w:t>
      </w:r>
      <w:r>
        <w:t xml:space="preserve"> </w:t>
      </w:r>
      <w:r w:rsidRPr="00403A0C">
        <w:t>Melbourne Renewable Energy Hub.</w:t>
      </w:r>
    </w:p>
    <w:p w14:paraId="28830E0E" w14:textId="77777777" w:rsidR="00F268B4" w:rsidRPr="00403A0C" w:rsidRDefault="00F268B4" w:rsidP="00F268B4">
      <w:pPr>
        <w:pStyle w:val="BodyText"/>
      </w:pPr>
      <w:r w:rsidRPr="00403A0C">
        <w:t>The hub will comprise 3 battery components totalling 600 MW in size and is being developed in partnership with renewable energy investor Equis Australia.</w:t>
      </w:r>
    </w:p>
    <w:p w14:paraId="46BEFBAA" w14:textId="77777777" w:rsidR="00F268B4" w:rsidRPr="00403A0C" w:rsidRDefault="00F268B4" w:rsidP="00F268B4">
      <w:pPr>
        <w:pStyle w:val="BodyText"/>
      </w:pPr>
      <w:r w:rsidRPr="00403A0C">
        <w:t>The SEC’s $245 million investment in the hub enabled construction to begin immediately and supported one of the project's battery components to double in size.</w:t>
      </w:r>
    </w:p>
    <w:p w14:paraId="02ED73D3" w14:textId="77777777" w:rsidR="00F268B4" w:rsidRDefault="00F268B4" w:rsidP="00EC49FE">
      <w:pPr>
        <w:pStyle w:val="BodyText"/>
        <w:rPr>
          <w:lang w:val="en-AU"/>
        </w:rPr>
      </w:pPr>
      <w:r w:rsidRPr="00403A0C">
        <w:rPr>
          <w:lang w:val="en-AU"/>
        </w:rPr>
        <w:t>Once complete in late 2025, the hub will deliver 1.6 GW hours of energy storage, with potential to expand. That’s enough to power around 200,000 homes during peak evening consumption.</w:t>
      </w:r>
    </w:p>
    <w:p w14:paraId="72CB19E5" w14:textId="77777777" w:rsidR="00F268B4" w:rsidRDefault="00F268B4">
      <w:pPr>
        <w:suppressAutoHyphens w:val="0"/>
        <w:spacing w:after="160"/>
        <w:rPr>
          <w:rFonts w:cs="Times New Roman (Body CS)"/>
          <w:kern w:val="24"/>
        </w:rPr>
      </w:pPr>
      <w:r>
        <w:br w:type="page"/>
      </w:r>
    </w:p>
    <w:p w14:paraId="74FAA932" w14:textId="77777777" w:rsidR="00F268B4" w:rsidRPr="00F268B4" w:rsidRDefault="00F268B4" w:rsidP="00F268B4">
      <w:pPr>
        <w:pStyle w:val="Heading1"/>
      </w:pPr>
      <w:bookmarkStart w:id="11" w:name="_Toc179905029"/>
      <w:r w:rsidRPr="00F268B4">
        <w:lastRenderedPageBreak/>
        <w:t>Government policy accelerating demand</w:t>
      </w:r>
      <w:bookmarkEnd w:id="11"/>
    </w:p>
    <w:p w14:paraId="3F1A6DEF" w14:textId="77777777" w:rsidR="005D5D7F" w:rsidRPr="005D5D7F" w:rsidRDefault="005D5D7F" w:rsidP="005D5D7F">
      <w:pPr>
        <w:pStyle w:val="SectionIntroParagraph"/>
        <w:ind w:right="-285"/>
      </w:pPr>
      <w:r w:rsidRPr="005D5D7F">
        <w:t>In 2017, Victoria launched its flagship initiative, the first Victorian Renewable Energy Target Auction – a competitive reverse auction scheme. After the success of the first auction, in 2021 a second auction was announced to contribute to our 2025 renewable energy target of 40%.</w:t>
      </w:r>
    </w:p>
    <w:p w14:paraId="47DF9536" w14:textId="4784CD08" w:rsidR="00937FC6" w:rsidRDefault="00937FC6" w:rsidP="00937FC6">
      <w:pPr>
        <w:pStyle w:val="Caption"/>
        <w:keepNext/>
      </w:pPr>
      <w:r>
        <w:t xml:space="preserve">Figure </w:t>
      </w:r>
      <w:r>
        <w:fldChar w:fldCharType="begin"/>
      </w:r>
      <w:r>
        <w:instrText xml:space="preserve"> SEQ Figure \* ARABIC </w:instrText>
      </w:r>
      <w:r>
        <w:fldChar w:fldCharType="separate"/>
      </w:r>
      <w:r>
        <w:rPr>
          <w:noProof/>
        </w:rPr>
        <w:t>2</w:t>
      </w:r>
      <w:r>
        <w:rPr>
          <w:noProof/>
        </w:rPr>
        <w:fldChar w:fldCharType="end"/>
      </w:r>
      <w:r>
        <w:t xml:space="preserve">: Locations of </w:t>
      </w:r>
      <w:r w:rsidR="00412C42">
        <w:t xml:space="preserve">VRET projects </w:t>
      </w:r>
      <w:r>
        <w:t>in Victoria</w:t>
      </w:r>
    </w:p>
    <w:p w14:paraId="360188EF" w14:textId="77777777" w:rsidR="00412C42" w:rsidRDefault="00412C42" w:rsidP="00732151">
      <w:pPr>
        <w:pStyle w:val="ListParagraph"/>
        <w:numPr>
          <w:ilvl w:val="0"/>
          <w:numId w:val="28"/>
        </w:numPr>
      </w:pPr>
      <w:r>
        <w:t>Kiamal Solar Farm Stage 2 – 150 MW with 150 MW/300 MWh storage</w:t>
      </w:r>
    </w:p>
    <w:p w14:paraId="73EEFD75" w14:textId="77777777" w:rsidR="00412C42" w:rsidRDefault="00412C42" w:rsidP="00732151">
      <w:pPr>
        <w:pStyle w:val="ListParagraph"/>
        <w:numPr>
          <w:ilvl w:val="0"/>
          <w:numId w:val="28"/>
        </w:numPr>
      </w:pPr>
      <w:r>
        <w:t>Derby Solar Project – 95 MW with 85 MW/100 MWh storage</w:t>
      </w:r>
    </w:p>
    <w:p w14:paraId="327E5A08" w14:textId="77777777" w:rsidR="00412C42" w:rsidRDefault="00412C42" w:rsidP="00732151">
      <w:pPr>
        <w:pStyle w:val="ListParagraph"/>
        <w:numPr>
          <w:ilvl w:val="0"/>
          <w:numId w:val="28"/>
        </w:numPr>
      </w:pPr>
      <w:r>
        <w:t>Cohuna Solar Farm – 34 MW</w:t>
      </w:r>
    </w:p>
    <w:p w14:paraId="3450A75E" w14:textId="77777777" w:rsidR="00412C42" w:rsidRDefault="00412C42" w:rsidP="00732151">
      <w:pPr>
        <w:pStyle w:val="ListParagraph"/>
        <w:numPr>
          <w:ilvl w:val="0"/>
          <w:numId w:val="28"/>
        </w:numPr>
      </w:pPr>
      <w:r>
        <w:t>Glenrowan Solar Farm – 102 MW</w:t>
      </w:r>
    </w:p>
    <w:p w14:paraId="15319F69" w14:textId="77777777" w:rsidR="00412C42" w:rsidRDefault="00412C42" w:rsidP="00732151">
      <w:pPr>
        <w:pStyle w:val="ListParagraph"/>
        <w:numPr>
          <w:ilvl w:val="0"/>
          <w:numId w:val="28"/>
        </w:numPr>
      </w:pPr>
      <w:r>
        <w:t>Horsham Solar Farm – 118.8 MW with 50 MW/100 MWh storage</w:t>
      </w:r>
    </w:p>
    <w:p w14:paraId="2BBD45F4" w14:textId="77777777" w:rsidR="00412C42" w:rsidRDefault="00412C42" w:rsidP="00732151">
      <w:pPr>
        <w:pStyle w:val="ListParagraph"/>
        <w:numPr>
          <w:ilvl w:val="0"/>
          <w:numId w:val="28"/>
        </w:numPr>
      </w:pPr>
      <w:r>
        <w:t>Mortlake South Wind Farm – 157.5 MW</w:t>
      </w:r>
    </w:p>
    <w:p w14:paraId="17316E12" w14:textId="77777777" w:rsidR="00412C42" w:rsidRDefault="00412C42" w:rsidP="00732151">
      <w:pPr>
        <w:pStyle w:val="ListParagraph"/>
        <w:numPr>
          <w:ilvl w:val="0"/>
          <w:numId w:val="28"/>
        </w:numPr>
      </w:pPr>
      <w:proofErr w:type="spellStart"/>
      <w:r>
        <w:t>Dundonell</w:t>
      </w:r>
      <w:proofErr w:type="spellEnd"/>
      <w:r>
        <w:t xml:space="preserve"> Wind Farm – 336 MW</w:t>
      </w:r>
    </w:p>
    <w:p w14:paraId="5E586681" w14:textId="77777777" w:rsidR="00412C42" w:rsidRDefault="00412C42" w:rsidP="00732151">
      <w:pPr>
        <w:pStyle w:val="ListParagraph"/>
        <w:numPr>
          <w:ilvl w:val="0"/>
          <w:numId w:val="28"/>
        </w:numPr>
      </w:pPr>
      <w:r>
        <w:t>Berrybank Wind Farm – 180 MW</w:t>
      </w:r>
    </w:p>
    <w:p w14:paraId="00614506" w14:textId="77777777" w:rsidR="00412C42" w:rsidRDefault="00412C42" w:rsidP="00732151">
      <w:pPr>
        <w:pStyle w:val="ListParagraph"/>
        <w:numPr>
          <w:ilvl w:val="0"/>
          <w:numId w:val="28"/>
        </w:numPr>
      </w:pPr>
      <w:r>
        <w:t>Fulham Solar Farm – 88 MW with 80 MW/ 100MWh storage</w:t>
      </w:r>
    </w:p>
    <w:p w14:paraId="2EA1A8B5" w14:textId="77777777" w:rsidR="00412C42" w:rsidRDefault="00412C42" w:rsidP="00732151">
      <w:pPr>
        <w:pStyle w:val="ListParagraph"/>
        <w:numPr>
          <w:ilvl w:val="0"/>
          <w:numId w:val="28"/>
        </w:numPr>
      </w:pPr>
      <w:r>
        <w:t>Frasers Solar Farm – 77 MW</w:t>
      </w:r>
    </w:p>
    <w:p w14:paraId="0AD20412" w14:textId="77777777" w:rsidR="00412C42" w:rsidRDefault="00412C42" w:rsidP="00732151">
      <w:pPr>
        <w:pStyle w:val="ListParagraph"/>
        <w:numPr>
          <w:ilvl w:val="0"/>
          <w:numId w:val="28"/>
        </w:numPr>
      </w:pPr>
      <w:r>
        <w:t>Winton Solar Farm – 98.8 MW</w:t>
      </w:r>
    </w:p>
    <w:p w14:paraId="4F3DBB47" w14:textId="77777777" w:rsidR="00412C42" w:rsidRPr="00412C42" w:rsidRDefault="00412C42" w:rsidP="00412C42">
      <w:pPr>
        <w:ind w:left="360"/>
      </w:pPr>
    </w:p>
    <w:p w14:paraId="6E59B2C2" w14:textId="6734097A" w:rsidR="00C02569" w:rsidRDefault="00937FC6" w:rsidP="005D5D7F">
      <w:pPr>
        <w:pStyle w:val="BodyText"/>
      </w:pPr>
      <w:r>
        <w:rPr>
          <w:noProof/>
        </w:rPr>
        <w:lastRenderedPageBreak/>
        <w:drawing>
          <wp:inline distT="0" distB="0" distL="0" distR="0" wp14:anchorId="525C873A" wp14:editId="5E740CA6">
            <wp:extent cx="6120130" cy="4438650"/>
            <wp:effectExtent l="0" t="0" r="1270" b="6350"/>
            <wp:docPr id="1862177888" name="Picture 2" descr="Map of Victoria, Australia with solar farms marked: Kiamal, Derby, Cohuna, Glenrowan, Winton, Frasers, Fulham, Horsham, Mortlake South, Dundonnell, Berrybank. Each shows power capacity in MW, storage in MWh, with sun and win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77888" name="Picture 2" descr="Map of Victoria, Australia with solar farms marked: Kiamal, Derby, Cohuna, Glenrowan, Winton, Frasers, Fulham, Horsham, Mortlake South, Dundonnell, Berrybank. Each shows power capacity in MW, storage in MWh, with sun and wind icons."/>
                    <pic:cNvPicPr/>
                  </pic:nvPicPr>
                  <pic:blipFill>
                    <a:blip r:embed="rId26"/>
                    <a:stretch>
                      <a:fillRect/>
                    </a:stretch>
                  </pic:blipFill>
                  <pic:spPr>
                    <a:xfrm>
                      <a:off x="0" y="0"/>
                      <a:ext cx="6120130" cy="4438650"/>
                    </a:xfrm>
                    <a:prstGeom prst="rect">
                      <a:avLst/>
                    </a:prstGeom>
                  </pic:spPr>
                </pic:pic>
              </a:graphicData>
            </a:graphic>
          </wp:inline>
        </w:drawing>
      </w:r>
    </w:p>
    <w:p w14:paraId="48028793" w14:textId="5FA8EB5A" w:rsidR="005D5D7F" w:rsidRPr="005D5D7F" w:rsidRDefault="005D5D7F" w:rsidP="005D5D7F">
      <w:pPr>
        <w:pStyle w:val="BodyText"/>
      </w:pPr>
      <w:r w:rsidRPr="005D5D7F">
        <w:t>The Victorian Renewable Energy Target auctions – VRET1 and VRET2 – provide long-term contracts that create investment certainty to build new energy generation projects.</w:t>
      </w:r>
    </w:p>
    <w:p w14:paraId="2417E14E" w14:textId="77777777" w:rsidR="005D5D7F" w:rsidRPr="005D5D7F" w:rsidRDefault="005D5D7F" w:rsidP="005D5D7F">
      <w:pPr>
        <w:pStyle w:val="BodyText"/>
      </w:pPr>
      <w:r w:rsidRPr="005D5D7F">
        <w:t>The first auction round, VRET1, supported over 800 MW of new renewable generation capacity across 5 projects.</w:t>
      </w:r>
    </w:p>
    <w:p w14:paraId="432B2B14" w14:textId="77777777" w:rsidR="005D5D7F" w:rsidRPr="005D5D7F" w:rsidRDefault="005D5D7F" w:rsidP="005D5D7F">
      <w:pPr>
        <w:pStyle w:val="BodyText"/>
      </w:pPr>
      <w:r w:rsidRPr="005D5D7F">
        <w:t>The second auction round, VRET2 will bring 623 MW of new renewable energy generation capacity online and up to 600 MWh of new battery energy storage once projects are operational.</w:t>
      </w:r>
    </w:p>
    <w:p w14:paraId="61A8784F" w14:textId="53878B90" w:rsidR="00F268B4" w:rsidRDefault="005D5D7F" w:rsidP="005D5D7F">
      <w:pPr>
        <w:pStyle w:val="BodyText"/>
      </w:pPr>
      <w:r w:rsidRPr="005D5D7F">
        <w:rPr>
          <w:lang w:val="en-AU"/>
        </w:rPr>
        <w:t xml:space="preserve">For more information visit: </w:t>
      </w:r>
      <w:hyperlink r:id="rId27" w:history="1">
        <w:r w:rsidRPr="005D5D7F">
          <w:rPr>
            <w:rStyle w:val="Hyperlink"/>
            <w:lang w:val="en-AU"/>
          </w:rPr>
          <w:t>energy.vic.gov.au/renewable- energy/victorian-renewable-energy-and-storage-targets/victorian-renewable-energy-target-auction-vret2</w:t>
        </w:r>
      </w:hyperlink>
    </w:p>
    <w:p w14:paraId="36E61BF7" w14:textId="77777777" w:rsidR="00F268B4" w:rsidRDefault="00F268B4">
      <w:pPr>
        <w:suppressAutoHyphens w:val="0"/>
        <w:spacing w:after="160"/>
        <w:rPr>
          <w:rFonts w:cs="Times New Roman (Body CS)"/>
          <w:kern w:val="24"/>
          <w:lang w:val="en-GB"/>
        </w:rPr>
      </w:pPr>
      <w:r>
        <w:br w:type="page"/>
      </w:r>
    </w:p>
    <w:p w14:paraId="34CB9C29" w14:textId="77777777" w:rsidR="00F268B4" w:rsidRPr="00424778" w:rsidRDefault="00F268B4" w:rsidP="00F268B4">
      <w:pPr>
        <w:pStyle w:val="Heading1"/>
      </w:pPr>
      <w:bookmarkStart w:id="12" w:name="_Toc179468017"/>
      <w:bookmarkStart w:id="13" w:name="_Toc179905030"/>
      <w:r w:rsidRPr="00424778">
        <w:lastRenderedPageBreak/>
        <w:t>Fast-tracking planning approvals</w:t>
      </w:r>
      <w:bookmarkEnd w:id="12"/>
      <w:bookmarkEnd w:id="13"/>
    </w:p>
    <w:p w14:paraId="0232AB0A" w14:textId="77777777" w:rsidR="00F268B4" w:rsidRPr="00424778" w:rsidRDefault="00F268B4" w:rsidP="00F268B4">
      <w:pPr>
        <w:pStyle w:val="SectionIntroParagraph"/>
      </w:pPr>
      <w:r w:rsidRPr="00424778">
        <w:t>Both the Victorian Government and the Australian Government are committed to getting your project through planning approvals as quickly as possible.</w:t>
      </w:r>
    </w:p>
    <w:p w14:paraId="6CD83F73" w14:textId="77777777" w:rsidR="00F268B4" w:rsidRPr="00424778" w:rsidRDefault="00F268B4" w:rsidP="00F268B4">
      <w:pPr>
        <w:pStyle w:val="Heading4"/>
      </w:pPr>
      <w:r w:rsidRPr="00424778">
        <w:t>Fast-tracked planning approvals</w:t>
      </w:r>
    </w:p>
    <w:p w14:paraId="3F070E0C" w14:textId="77777777" w:rsidR="00F268B4" w:rsidRPr="00424778" w:rsidRDefault="00F268B4" w:rsidP="00F268B4">
      <w:pPr>
        <w:pStyle w:val="BodyText"/>
      </w:pPr>
      <w:r w:rsidRPr="00424778">
        <w:t>The Victorian Government Development Facilitation Program fast-tracks the planning permit approval process for large renewable energy facilities and utility installations. This provides certainty to investors by removing the risk of delay by third-party appeals.</w:t>
      </w:r>
    </w:p>
    <w:p w14:paraId="0CB2C917" w14:textId="77777777" w:rsidR="00F268B4" w:rsidRPr="00424778" w:rsidRDefault="00F268B4" w:rsidP="00F268B4">
      <w:pPr>
        <w:pStyle w:val="BodyText"/>
        <w:rPr>
          <w:u w:val="thick"/>
        </w:rPr>
      </w:pPr>
      <w:r w:rsidRPr="00424778">
        <w:t xml:space="preserve">For more information, visit: </w:t>
      </w:r>
      <w:hyperlink r:id="rId28" w:tooltip="Hyperlink to Victorian Government Development Facilitation Program website" w:history="1">
        <w:r w:rsidRPr="00E30706">
          <w:rPr>
            <w:rStyle w:val="Hyperlink"/>
          </w:rPr>
          <w:t>planning.vic.gov.au/planning-approvals/planning-enquiries-and-requests/development-facilitation-program</w:t>
        </w:r>
      </w:hyperlink>
    </w:p>
    <w:p w14:paraId="41D92BF5" w14:textId="77777777" w:rsidR="00F268B4" w:rsidRPr="00424778" w:rsidRDefault="00F268B4" w:rsidP="00F268B4">
      <w:pPr>
        <w:pStyle w:val="BodyText"/>
      </w:pPr>
      <w:r w:rsidRPr="00424778">
        <w:t>Furthermore, the Australian Government is providing $168 million to better prioritise approval decisions for renewable energy projects of national significance, and support faster decisions on environment, cultural heritage and planning approvals.</w:t>
      </w:r>
    </w:p>
    <w:p w14:paraId="43781D1C" w14:textId="77777777" w:rsidR="00F268B4" w:rsidRPr="00424778" w:rsidRDefault="00F268B4" w:rsidP="00F268B4">
      <w:pPr>
        <w:pStyle w:val="Heading4"/>
      </w:pPr>
      <w:r w:rsidRPr="00424778">
        <w:t>Clearer biodiversity planning guidelines</w:t>
      </w:r>
    </w:p>
    <w:p w14:paraId="7201A378" w14:textId="77777777" w:rsidR="00F268B4" w:rsidRPr="00424778" w:rsidRDefault="00F268B4" w:rsidP="00F268B4">
      <w:pPr>
        <w:pStyle w:val="BodyText"/>
      </w:pPr>
      <w:r w:rsidRPr="00424778">
        <w:t>The Victorian Government is developing interactive spatial tools and guidance materials to improve upfront planning for renewable energy projects and provide clearer requirements for managing biodiversity impacts.</w:t>
      </w:r>
    </w:p>
    <w:p w14:paraId="43E92CCD" w14:textId="77777777" w:rsidR="00F268B4" w:rsidRPr="00424778" w:rsidRDefault="00F268B4" w:rsidP="00F268B4">
      <w:pPr>
        <w:pStyle w:val="BodyText"/>
      </w:pPr>
      <w:r w:rsidRPr="00424778">
        <w:t>In 2024 two new maps have been developed: Habitat Value and the Marine Biodiversity Values (MBV). The maps combine information on thousands of species habitats to show the relative biodiversity value of habitats in Victoria.</w:t>
      </w:r>
    </w:p>
    <w:p w14:paraId="63689833" w14:textId="77777777" w:rsidR="00F268B4" w:rsidRDefault="00F268B4" w:rsidP="00F268B4">
      <w:pPr>
        <w:pStyle w:val="BodyText"/>
      </w:pPr>
      <w:r w:rsidRPr="00424778">
        <w:lastRenderedPageBreak/>
        <w:t>Biodiversity values mapping provides decision-makers with an objective and comprehensive view of the relative biodiversity importance of all parts of Victoria’s land and state waters, to help prioritise areas for protection or avoid areas of high biodiversity value in development footprints. The values mapping does not highlight areas that are “no-go” zones for development. Instead, they can be used to consider the relative value of biodiversity to help design infrastructure that minimises impacts.</w:t>
      </w:r>
    </w:p>
    <w:p w14:paraId="3EA3D3AA" w14:textId="77777777" w:rsidR="00F268B4" w:rsidRPr="00424778" w:rsidRDefault="00F268B4" w:rsidP="00F268B4">
      <w:pPr>
        <w:pStyle w:val="Heading4"/>
      </w:pPr>
      <w:r>
        <w:t>Further</w:t>
      </w:r>
      <w:r w:rsidRPr="006F293B">
        <w:t xml:space="preserve"> information</w:t>
      </w:r>
    </w:p>
    <w:p w14:paraId="2DFBF341" w14:textId="77777777" w:rsidR="00F268B4" w:rsidRPr="00424778" w:rsidRDefault="00F268B4" w:rsidP="00F268B4">
      <w:pPr>
        <w:pStyle w:val="BodyText"/>
      </w:pPr>
      <w:r w:rsidRPr="00424778">
        <w:t xml:space="preserve">For more information, visit: </w:t>
      </w:r>
      <w:hyperlink r:id="rId29" w:tooltip="Hyperlink to Energy Victoria website" w:history="1">
        <w:r w:rsidRPr="00E30706">
          <w:rPr>
            <w:rStyle w:val="Hyperlink"/>
          </w:rPr>
          <w:t>energy.vic.gov.au/about-energy/news/news-stories/better-managing-biodiversity-impacts-of-energy-projects</w:t>
        </w:r>
      </w:hyperlink>
    </w:p>
    <w:p w14:paraId="35AFDDEE" w14:textId="77777777" w:rsidR="00F268B4" w:rsidRPr="00424778" w:rsidRDefault="00F268B4" w:rsidP="00F268B4">
      <w:pPr>
        <w:pStyle w:val="BodyText"/>
        <w:spacing w:after="60"/>
      </w:pPr>
      <w:r w:rsidRPr="00424778">
        <w:t>For more information or to download the map datasets visit:</w:t>
      </w:r>
    </w:p>
    <w:p w14:paraId="36E1BAB8" w14:textId="77777777" w:rsidR="00F268B4" w:rsidRPr="00424778" w:rsidRDefault="00F268B4" w:rsidP="00F268B4">
      <w:pPr>
        <w:pStyle w:val="ListBullet"/>
      </w:pPr>
      <w:r w:rsidRPr="00424778">
        <w:t xml:space="preserve">Habitat Value: </w:t>
      </w:r>
      <w:hyperlink r:id="rId30" w:tooltip="Hyperlink to map datasets" w:history="1">
        <w:r w:rsidRPr="00E30706">
          <w:rPr>
            <w:rStyle w:val="Hyperlink"/>
          </w:rPr>
          <w:t>environment.vic.gov.au/biodiversity/habitat_value</w:t>
        </w:r>
      </w:hyperlink>
    </w:p>
    <w:p w14:paraId="0CC4F4B9" w14:textId="77777777" w:rsidR="00F268B4" w:rsidRDefault="00F268B4" w:rsidP="00F268B4">
      <w:pPr>
        <w:pStyle w:val="ListBullet"/>
        <w:rPr>
          <w:lang w:val="en-AU"/>
        </w:rPr>
        <w:sectPr w:rsidR="00F268B4" w:rsidSect="00F268B4">
          <w:footerReference w:type="default" r:id="rId31"/>
          <w:pgSz w:w="11906" w:h="16838"/>
          <w:pgMar w:top="1134" w:right="1134" w:bottom="1134" w:left="1134" w:header="720" w:footer="720" w:gutter="0"/>
          <w:cols w:space="720"/>
          <w:noEndnote/>
          <w:docGrid w:linePitch="326"/>
        </w:sectPr>
      </w:pPr>
      <w:r w:rsidRPr="00424778">
        <w:rPr>
          <w:lang w:val="en-AU"/>
        </w:rPr>
        <w:t xml:space="preserve">MBV: </w:t>
      </w:r>
      <w:hyperlink r:id="rId32" w:tooltip="Hyperlink to map datasets" w:history="1">
        <w:r w:rsidRPr="00E30706">
          <w:rPr>
            <w:rStyle w:val="Hyperlink"/>
            <w:lang w:val="en-AU"/>
          </w:rPr>
          <w:t>marineandcoasts.vic.gov.au/marine-and-coastal-knowledge/MBV</w:t>
        </w:r>
      </w:hyperlink>
    </w:p>
    <w:p w14:paraId="1C795913" w14:textId="77777777" w:rsidR="00F268B4" w:rsidRPr="00766A5F" w:rsidRDefault="00F268B4" w:rsidP="00F268B4">
      <w:pPr>
        <w:pStyle w:val="Heading1"/>
      </w:pPr>
      <w:bookmarkStart w:id="14" w:name="_Toc179468022"/>
      <w:bookmarkStart w:id="15" w:name="_Toc179905031"/>
      <w:r w:rsidRPr="00766A5F">
        <w:lastRenderedPageBreak/>
        <w:t>Investing in a Future Made in Australia</w:t>
      </w:r>
      <w:bookmarkEnd w:id="14"/>
      <w:bookmarkEnd w:id="15"/>
    </w:p>
    <w:p w14:paraId="765AE7D2" w14:textId="77777777" w:rsidR="00F268B4" w:rsidRPr="00766A5F" w:rsidRDefault="00F268B4" w:rsidP="00F268B4">
      <w:pPr>
        <w:pStyle w:val="SectionIntroParagraph"/>
      </w:pPr>
      <w:r w:rsidRPr="00766A5F">
        <w:t>The Australian Government is investing $22.7 billion to transform the nation into</w:t>
      </w:r>
      <w:r>
        <w:t xml:space="preserve"> </w:t>
      </w:r>
      <w:r w:rsidRPr="00766A5F">
        <w:t>a</w:t>
      </w:r>
      <w:r>
        <w:t xml:space="preserve"> </w:t>
      </w:r>
      <w:r w:rsidRPr="00766A5F">
        <w:t>renewable energy superpower. As the country’s leading manufacturing state,</w:t>
      </w:r>
      <w:r>
        <w:t xml:space="preserve"> </w:t>
      </w:r>
      <w:r w:rsidRPr="00766A5F">
        <w:t>Victoria can be central to these ambitions.</w:t>
      </w:r>
    </w:p>
    <w:p w14:paraId="187C4CCA" w14:textId="77777777" w:rsidR="00F268B4" w:rsidRPr="00766A5F" w:rsidRDefault="00F268B4" w:rsidP="00F268B4">
      <w:pPr>
        <w:pStyle w:val="BodyText"/>
      </w:pPr>
      <w:r w:rsidRPr="00766A5F">
        <w:t>Future Made in Australia has been designed to maximise the economic and industrial benefits of the net zero transition. It is focused on facilitating private sector investment and building a stronger, more diversified and more resilient economy powered by renewable energy.</w:t>
      </w:r>
    </w:p>
    <w:p w14:paraId="739AB1A1" w14:textId="77777777" w:rsidR="00F268B4" w:rsidRPr="00766A5F" w:rsidRDefault="00F268B4" w:rsidP="00F268B4">
      <w:pPr>
        <w:pStyle w:val="BodyText"/>
        <w:spacing w:after="60"/>
      </w:pPr>
      <w:r w:rsidRPr="00766A5F">
        <w:t>The Victorian Government can connect you with the Australian Government’s specialist investment vehicles, including the:</w:t>
      </w:r>
    </w:p>
    <w:p w14:paraId="109D5BF0" w14:textId="77777777" w:rsidR="00F268B4" w:rsidRPr="00766A5F" w:rsidRDefault="00F268B4" w:rsidP="00F268B4">
      <w:pPr>
        <w:pStyle w:val="ListBullet"/>
      </w:pPr>
      <w:r w:rsidRPr="00C67AAC">
        <w:rPr>
          <w:b/>
          <w:bCs/>
        </w:rPr>
        <w:t>Clean Energy Finance Corporation:</w:t>
      </w:r>
      <w:r w:rsidRPr="00766A5F">
        <w:t xml:space="preserve"> Australia’s ‘Green Bank’, with access to $30.5 billion in investment capital from the Australian Government</w:t>
      </w:r>
    </w:p>
    <w:p w14:paraId="7FDCAF9F" w14:textId="77777777" w:rsidR="00F268B4" w:rsidRPr="00766A5F" w:rsidRDefault="00F268B4" w:rsidP="00F268B4">
      <w:pPr>
        <w:pStyle w:val="ListBullet"/>
      </w:pPr>
      <w:r w:rsidRPr="00C67AAC">
        <w:rPr>
          <w:b/>
          <w:bCs/>
        </w:rPr>
        <w:t>Australian Renewable Energy Agency:</w:t>
      </w:r>
      <w:r w:rsidRPr="00766A5F">
        <w:t xml:space="preserve"> Provides financial assistance for research, development, demonstration, commercialisation and deployment of renewable energy technologies.</w:t>
      </w:r>
    </w:p>
    <w:p w14:paraId="504A51C2" w14:textId="77777777" w:rsidR="00F268B4" w:rsidRPr="00766A5F" w:rsidRDefault="00F268B4" w:rsidP="00F268B4">
      <w:pPr>
        <w:pStyle w:val="ListBullet"/>
      </w:pPr>
      <w:r w:rsidRPr="00C67AAC">
        <w:rPr>
          <w:b/>
          <w:bCs/>
        </w:rPr>
        <w:t>National Reconstruction Fund:</w:t>
      </w:r>
      <w:r w:rsidRPr="00766A5F">
        <w:t xml:space="preserve"> A $15 billion national investment fund designed to diversify and transform Australia's industry and economy.</w:t>
      </w:r>
    </w:p>
    <w:p w14:paraId="4E2F6800" w14:textId="77777777" w:rsidR="00F268B4" w:rsidRPr="00766A5F" w:rsidRDefault="00F268B4" w:rsidP="00F268B4">
      <w:pPr>
        <w:pStyle w:val="ListBullet"/>
      </w:pPr>
      <w:r w:rsidRPr="00C67AAC">
        <w:rPr>
          <w:b/>
          <w:bCs/>
        </w:rPr>
        <w:t>Net Zero Economy Authority:</w:t>
      </w:r>
      <w:r w:rsidRPr="00766A5F">
        <w:t xml:space="preserve"> $399 million to establish the Net Zero Economy Authority and support the economy wide net zero transformation.</w:t>
      </w:r>
    </w:p>
    <w:p w14:paraId="0BB5B0C1" w14:textId="77777777" w:rsidR="00F268B4" w:rsidRPr="00766A5F" w:rsidRDefault="00F268B4" w:rsidP="00F268B4">
      <w:pPr>
        <w:pStyle w:val="Heading4"/>
      </w:pPr>
      <w:r w:rsidRPr="00766A5F">
        <w:t>Key initiatives include:</w:t>
      </w:r>
    </w:p>
    <w:p w14:paraId="544A8D0A" w14:textId="77777777" w:rsidR="00F268B4" w:rsidRPr="00766A5F" w:rsidRDefault="00F268B4" w:rsidP="00F268B4">
      <w:pPr>
        <w:pStyle w:val="ListBullet"/>
      </w:pPr>
      <w:r w:rsidRPr="00C67AAC">
        <w:rPr>
          <w:b/>
          <w:bCs/>
        </w:rPr>
        <w:t>$7 billion</w:t>
      </w:r>
      <w:r w:rsidRPr="00766A5F">
        <w:t xml:space="preserve"> production tax incentive for the processing and refining of critical minerals</w:t>
      </w:r>
    </w:p>
    <w:p w14:paraId="4B11A9ED" w14:textId="77777777" w:rsidR="00F268B4" w:rsidRPr="00766A5F" w:rsidRDefault="00F268B4" w:rsidP="00F268B4">
      <w:pPr>
        <w:pStyle w:val="ListBullet"/>
      </w:pPr>
      <w:r w:rsidRPr="00C67AAC">
        <w:rPr>
          <w:b/>
          <w:bCs/>
        </w:rPr>
        <w:t>$6.7 billion</w:t>
      </w:r>
      <w:r w:rsidRPr="00766A5F">
        <w:t xml:space="preserve"> production tax incentive for renewable hydrogen</w:t>
      </w:r>
    </w:p>
    <w:p w14:paraId="7FB0B525" w14:textId="77777777" w:rsidR="00F268B4" w:rsidRPr="00766A5F" w:rsidRDefault="00F268B4" w:rsidP="00F268B4">
      <w:pPr>
        <w:pStyle w:val="ListBullet"/>
      </w:pPr>
      <w:r w:rsidRPr="00C67AAC">
        <w:rPr>
          <w:b/>
          <w:bCs/>
        </w:rPr>
        <w:lastRenderedPageBreak/>
        <w:t>$2 billion</w:t>
      </w:r>
      <w:r w:rsidRPr="00766A5F">
        <w:t xml:space="preserve"> for early-mover renewable hydrogen projects as part of the Hydrogen Headstart program (bringing total investment to $4 billion)</w:t>
      </w:r>
    </w:p>
    <w:p w14:paraId="39225AA8" w14:textId="77777777" w:rsidR="00F268B4" w:rsidRPr="00766A5F" w:rsidRDefault="00F268B4" w:rsidP="00F268B4">
      <w:pPr>
        <w:pStyle w:val="ListBullet"/>
      </w:pPr>
      <w:r w:rsidRPr="00C67AAC">
        <w:rPr>
          <w:b/>
          <w:bCs/>
        </w:rPr>
        <w:t>$1.7 billion</w:t>
      </w:r>
      <w:r w:rsidRPr="00766A5F">
        <w:t xml:space="preserve"> to promote net zero innovation, including for green metals and low-carbon fuels</w:t>
      </w:r>
    </w:p>
    <w:p w14:paraId="75FCAF6D" w14:textId="77777777" w:rsidR="00F268B4" w:rsidRPr="00766A5F" w:rsidRDefault="00F268B4" w:rsidP="00F268B4">
      <w:pPr>
        <w:pStyle w:val="ListBullet"/>
      </w:pPr>
      <w:r w:rsidRPr="00C67AAC">
        <w:rPr>
          <w:b/>
          <w:bCs/>
        </w:rPr>
        <w:t>$1.5 billion</w:t>
      </w:r>
      <w:r w:rsidRPr="00766A5F">
        <w:t xml:space="preserve"> to strengthen battery and solar panel supply chains through production incentives</w:t>
      </w:r>
    </w:p>
    <w:p w14:paraId="79E2E4FA" w14:textId="77777777" w:rsidR="00F268B4" w:rsidRDefault="00F268B4" w:rsidP="00F268B4">
      <w:pPr>
        <w:pStyle w:val="ListBullet"/>
        <w:rPr>
          <w:lang w:val="en-AU"/>
        </w:rPr>
      </w:pPr>
      <w:r w:rsidRPr="00C67AAC">
        <w:rPr>
          <w:b/>
          <w:bCs/>
          <w:lang w:val="en-AU"/>
        </w:rPr>
        <w:t>$134 million</w:t>
      </w:r>
      <w:r w:rsidRPr="00766A5F">
        <w:rPr>
          <w:lang w:val="en-AU"/>
        </w:rPr>
        <w:t xml:space="preserve"> to fast-track approval processes for renewable energy projects.</w:t>
      </w:r>
    </w:p>
    <w:p w14:paraId="107738BE" w14:textId="77777777" w:rsidR="00F268B4" w:rsidRDefault="00F268B4" w:rsidP="00F268B4">
      <w:pPr>
        <w:pStyle w:val="Heading4"/>
        <w:spacing w:before="360"/>
      </w:pPr>
      <w:r>
        <w:t>Further</w:t>
      </w:r>
      <w:r w:rsidRPr="006F293B">
        <w:t xml:space="preserve"> information</w:t>
      </w:r>
    </w:p>
    <w:p w14:paraId="48C8967B" w14:textId="77777777" w:rsidR="00F268B4" w:rsidRDefault="00F268B4" w:rsidP="00F268B4">
      <w:pPr>
        <w:pStyle w:val="BodyText"/>
      </w:pPr>
      <w:r w:rsidRPr="00766A5F">
        <w:t xml:space="preserve">For more information, visit: </w:t>
      </w:r>
      <w:hyperlink r:id="rId33" w:tooltip="Hyperlink to  Australian Government Treasury website" w:history="1">
        <w:r>
          <w:rPr>
            <w:rStyle w:val="Hyperlink"/>
          </w:rPr>
          <w:t>treasury.gov.au/publication/p2024-526942</w:t>
        </w:r>
      </w:hyperlink>
    </w:p>
    <w:p w14:paraId="6EC6F12C" w14:textId="77777777" w:rsidR="00F268B4" w:rsidRDefault="00F268B4">
      <w:pPr>
        <w:suppressAutoHyphens w:val="0"/>
        <w:spacing w:after="160"/>
        <w:rPr>
          <w:rFonts w:cs="Times New Roman (Body CS)"/>
          <w:kern w:val="24"/>
          <w:lang w:val="en-GB"/>
        </w:rPr>
      </w:pPr>
      <w:r>
        <w:br w:type="page"/>
      </w:r>
    </w:p>
    <w:p w14:paraId="2289E090" w14:textId="77777777" w:rsidR="00F268B4" w:rsidRDefault="00F268B4" w:rsidP="00F268B4">
      <w:pPr>
        <w:pStyle w:val="Heading1"/>
      </w:pPr>
      <w:bookmarkStart w:id="16" w:name="_Toc179468023"/>
      <w:bookmarkStart w:id="17" w:name="_Toc179905032"/>
      <w:r w:rsidRPr="00766A5F">
        <w:lastRenderedPageBreak/>
        <w:t>Capacity Investment Scheme</w:t>
      </w:r>
      <w:bookmarkEnd w:id="16"/>
      <w:bookmarkEnd w:id="17"/>
    </w:p>
    <w:p w14:paraId="1E78C2C4" w14:textId="77777777" w:rsidR="00F268B4" w:rsidRPr="00766A5F" w:rsidRDefault="00F268B4" w:rsidP="00937FC6">
      <w:pPr>
        <w:pStyle w:val="SectionIntroParagraph"/>
      </w:pPr>
      <w:r w:rsidRPr="00766A5F">
        <w:t>The Capacity Investment Scheme (CIS) provides a national framework to underwrite 23 GW of renewable capacity and 9 GW of clean dispatchable capacity by 2030.</w:t>
      </w:r>
    </w:p>
    <w:p w14:paraId="19D49380" w14:textId="77777777" w:rsidR="00F268B4" w:rsidRPr="00766A5F" w:rsidRDefault="00F268B4" w:rsidP="00F268B4">
      <w:pPr>
        <w:pStyle w:val="BodyText"/>
      </w:pPr>
      <w:r w:rsidRPr="00766A5F">
        <w:t>The Australian Government will provide revenue underwriting for successful CIS tender projects, with an agreed revenue ‘floor’ and ‘ceiling.’ This will offer a long-term revenue safety-net that decreases financial risks for investors and encourages more investment when and where it is needed.</w:t>
      </w:r>
    </w:p>
    <w:p w14:paraId="0B2B551E" w14:textId="77777777" w:rsidR="00F268B4" w:rsidRPr="00766A5F" w:rsidRDefault="00F268B4" w:rsidP="00F268B4">
      <w:pPr>
        <w:pStyle w:val="BodyText"/>
      </w:pPr>
      <w:r w:rsidRPr="00766A5F">
        <w:t>Competitive tenders for renewable energy and storage will be held approximately every 6 months. The first was held in May 2024 where Victoria secured a minimum allocation of 1.4 GW of renewable energy capacity. This is in addition to the 600 MW storage tender held in early-2024 for projects in Victoria or South Australia.</w:t>
      </w:r>
    </w:p>
    <w:p w14:paraId="186D1B8B" w14:textId="77777777" w:rsidR="00F268B4" w:rsidRPr="00766A5F" w:rsidRDefault="00F268B4" w:rsidP="00F268B4">
      <w:pPr>
        <w:pStyle w:val="BodyText"/>
      </w:pPr>
      <w:r w:rsidRPr="00766A5F">
        <w:t>Through the CIS, the Australian Government is committed to bring jobs and investment to regional communities, strengthen industries that create our sustainable future and support First Nations people to preserve their unique culture and heritage and remain on Country.</w:t>
      </w:r>
    </w:p>
    <w:p w14:paraId="2CC66D74" w14:textId="77777777" w:rsidR="00F268B4" w:rsidRDefault="00F268B4" w:rsidP="00F268B4">
      <w:pPr>
        <w:pStyle w:val="BodyText"/>
        <w:rPr>
          <w:lang w:val="en-AU"/>
        </w:rPr>
      </w:pPr>
      <w:r w:rsidRPr="00766A5F">
        <w:rPr>
          <w:lang w:val="en-AU"/>
        </w:rPr>
        <w:t>The Victorian Government is engaging with the Australian Government to finalise the bilateral Renewable Energy Transformation Agreement (RETA). The RETA will set out Victorian allocations for future tender rounds of the CIS, securing support for investments in renewable energy and storage projects in Victoria.</w:t>
      </w:r>
    </w:p>
    <w:p w14:paraId="5361B955" w14:textId="77777777" w:rsidR="00F268B4" w:rsidRDefault="00F268B4" w:rsidP="00F268B4">
      <w:pPr>
        <w:pStyle w:val="Heading4"/>
      </w:pPr>
      <w:r>
        <w:t>Further</w:t>
      </w:r>
      <w:r w:rsidRPr="006F293B">
        <w:t xml:space="preserve"> information</w:t>
      </w:r>
    </w:p>
    <w:p w14:paraId="3F379112" w14:textId="77777777" w:rsidR="00F268B4" w:rsidRDefault="00F268B4" w:rsidP="00EC49FE">
      <w:pPr>
        <w:pStyle w:val="BodyText"/>
      </w:pPr>
      <w:r w:rsidRPr="00766A5F">
        <w:t xml:space="preserve">For more information, visit: </w:t>
      </w:r>
      <w:hyperlink r:id="rId34" w:history="1">
        <w:r w:rsidRPr="00766A5F">
          <w:rPr>
            <w:rStyle w:val="Hyperlink"/>
          </w:rPr>
          <w:t>dcceew.gov.au/energy/renewable/capacity-investment-scheme</w:t>
        </w:r>
      </w:hyperlink>
    </w:p>
    <w:p w14:paraId="15B2D5DD" w14:textId="77777777" w:rsidR="00F268B4" w:rsidRDefault="00F268B4">
      <w:pPr>
        <w:suppressAutoHyphens w:val="0"/>
        <w:spacing w:after="160"/>
        <w:rPr>
          <w:rFonts w:cs="Times New Roman (Body CS)"/>
          <w:kern w:val="24"/>
          <w:lang w:val="en-GB"/>
        </w:rPr>
      </w:pPr>
      <w:r>
        <w:br w:type="page"/>
      </w:r>
    </w:p>
    <w:p w14:paraId="607D7AED" w14:textId="77777777" w:rsidR="00F268B4" w:rsidRPr="00CC3771" w:rsidRDefault="00F268B4" w:rsidP="00F268B4">
      <w:pPr>
        <w:pStyle w:val="Heading1"/>
      </w:pPr>
      <w:bookmarkStart w:id="18" w:name="_Toc179468032"/>
      <w:bookmarkStart w:id="19" w:name="_Toc179905033"/>
      <w:r w:rsidRPr="00CC3771">
        <w:lastRenderedPageBreak/>
        <w:t>Offshore Wind</w:t>
      </w:r>
      <w:bookmarkEnd w:id="18"/>
      <w:bookmarkEnd w:id="19"/>
    </w:p>
    <w:p w14:paraId="48E1C85D" w14:textId="77777777" w:rsidR="00F268B4" w:rsidRDefault="00F268B4" w:rsidP="00F268B4">
      <w:pPr>
        <w:pStyle w:val="SectionIntroParagraph"/>
      </w:pPr>
      <w:r w:rsidRPr="00CC3771">
        <w:t>Offshore wind (OSW) a key pillar in Victoria’s renewable energy future.</w:t>
      </w:r>
    </w:p>
    <w:p w14:paraId="18D071B4" w14:textId="77777777" w:rsidR="00F268B4" w:rsidRPr="00CC3771" w:rsidRDefault="00F268B4" w:rsidP="00F268B4">
      <w:pPr>
        <w:pStyle w:val="BodyText"/>
        <w:spacing w:after="60"/>
      </w:pPr>
      <w:r w:rsidRPr="00CC3771">
        <w:t>Victoria is perfectly positioned to lead the nation in establishing a thriving new OSW industry, with:</w:t>
      </w:r>
    </w:p>
    <w:p w14:paraId="0FA6B8AC" w14:textId="77777777" w:rsidR="00F268B4" w:rsidRPr="00CC3771" w:rsidRDefault="00F268B4" w:rsidP="00F268B4">
      <w:pPr>
        <w:pStyle w:val="ListBullet"/>
      </w:pPr>
      <w:r w:rsidRPr="00CC3771">
        <w:t>a world class offshore wind resource close to</w:t>
      </w:r>
      <w:r>
        <w:t xml:space="preserve"> </w:t>
      </w:r>
      <w:r w:rsidRPr="00CC3771">
        <w:t>our transmission backbone</w:t>
      </w:r>
    </w:p>
    <w:p w14:paraId="0A074D65" w14:textId="77777777" w:rsidR="00F268B4" w:rsidRPr="00CC3771" w:rsidRDefault="00F268B4" w:rsidP="00F268B4">
      <w:pPr>
        <w:pStyle w:val="ListBullet"/>
      </w:pPr>
      <w:r w:rsidRPr="00CC3771">
        <w:t>a skilled regional workforce</w:t>
      </w:r>
    </w:p>
    <w:p w14:paraId="5530C3ED" w14:textId="77777777" w:rsidR="00F268B4" w:rsidRPr="00CC3771" w:rsidRDefault="00F268B4" w:rsidP="00F268B4">
      <w:pPr>
        <w:pStyle w:val="ListBullet"/>
      </w:pPr>
      <w:r w:rsidRPr="00CC3771">
        <w:t>a track record of delivering renewable energy</w:t>
      </w:r>
      <w:r>
        <w:t xml:space="preserve"> </w:t>
      </w:r>
      <w:r w:rsidRPr="00CC3771">
        <w:t>projects, and</w:t>
      </w:r>
    </w:p>
    <w:p w14:paraId="4AD949B1" w14:textId="77777777" w:rsidR="00F268B4" w:rsidRPr="00CC3771" w:rsidRDefault="00F268B4" w:rsidP="00F268B4">
      <w:pPr>
        <w:pStyle w:val="ListBullet"/>
        <w:spacing w:after="240"/>
      </w:pPr>
      <w:r w:rsidRPr="00CC3771">
        <w:t>the largest declared offshore wind energy area in Australia.</w:t>
      </w:r>
    </w:p>
    <w:p w14:paraId="0CECE90A" w14:textId="77777777" w:rsidR="00F268B4" w:rsidRPr="00CC3771" w:rsidRDefault="00F268B4" w:rsidP="00F268B4">
      <w:pPr>
        <w:pStyle w:val="BodyText"/>
      </w:pPr>
      <w:r w:rsidRPr="00CC3771">
        <w:t>The Australian Government has declared an area of the Bass Strait off Gippsland, Victoria, as Australia’s ﬁrst and largest offshore wind zone, spanning an area of  approximately 15,000 square kilometers.</w:t>
      </w:r>
    </w:p>
    <w:p w14:paraId="77B4E106" w14:textId="77777777" w:rsidR="00F268B4" w:rsidRPr="00CC3771" w:rsidRDefault="00F268B4" w:rsidP="00F268B4">
      <w:pPr>
        <w:pStyle w:val="BodyText"/>
      </w:pPr>
      <w:r w:rsidRPr="00CC3771">
        <w:t>Feasibility licenses have been awarded to 12 projects in the Gippsland offshore wind declared area with planning and investigations now underway.</w:t>
      </w:r>
    </w:p>
    <w:p w14:paraId="71298C74" w14:textId="77777777" w:rsidR="00F268B4" w:rsidRPr="00CC3771" w:rsidRDefault="00F268B4" w:rsidP="00F268B4">
      <w:pPr>
        <w:pStyle w:val="BodyText"/>
      </w:pPr>
      <w:r w:rsidRPr="00CC3771">
        <w:t>The Australian Government has also declared an offshore wind zone in the Southern Ocean off the coast of South-west Victoria. Offshore wind farms can only be built in Commonwealth waters, in areas approved by the Australian Government.</w:t>
      </w:r>
    </w:p>
    <w:p w14:paraId="61FE1FEC" w14:textId="77777777" w:rsidR="00F268B4" w:rsidRPr="00CC3771" w:rsidRDefault="00F268B4" w:rsidP="00F268B4">
      <w:pPr>
        <w:pStyle w:val="BodyText"/>
      </w:pPr>
      <w:r w:rsidRPr="00CC3771">
        <w:t>The Victorian Government established Offshore Wind Energy Victoria (OWEV) to coordinate and drive the development of Victoria’s offshore wind sector.</w:t>
      </w:r>
    </w:p>
    <w:p w14:paraId="6D1B7C38" w14:textId="77777777" w:rsidR="00F268B4" w:rsidRPr="00CC3771" w:rsidRDefault="00F268B4" w:rsidP="00F268B4">
      <w:pPr>
        <w:pStyle w:val="Heading4"/>
      </w:pPr>
      <w:r w:rsidRPr="00CC3771">
        <w:t>Investment Opportunity</w:t>
      </w:r>
    </w:p>
    <w:p w14:paraId="5279683A" w14:textId="77777777" w:rsidR="00F268B4" w:rsidRPr="00CC3771" w:rsidRDefault="00F268B4" w:rsidP="00F268B4">
      <w:pPr>
        <w:pStyle w:val="BodyText"/>
        <w:spacing w:after="60"/>
      </w:pPr>
      <w:r w:rsidRPr="00CC3771">
        <w:t>The market provides significant opportunities for investment in the offshore wind industry:</w:t>
      </w:r>
    </w:p>
    <w:p w14:paraId="16A06AE4" w14:textId="77777777" w:rsidR="00F268B4" w:rsidRDefault="00F268B4" w:rsidP="00F268B4">
      <w:pPr>
        <w:pStyle w:val="ListBullet"/>
      </w:pPr>
      <w:r w:rsidRPr="00CC3771">
        <w:lastRenderedPageBreak/>
        <w:t>Offshore wind is a key pillar in Victoria’s renewable energy future with legislated targets of 2GW by 2032, 4GW by 2035 and 9GW by 2040.</w:t>
      </w:r>
    </w:p>
    <w:p w14:paraId="23315CEF" w14:textId="77777777" w:rsidR="00F268B4" w:rsidRPr="00CC3771" w:rsidRDefault="00F268B4" w:rsidP="00F268B4">
      <w:pPr>
        <w:pStyle w:val="ListBullet"/>
      </w:pPr>
      <w:r w:rsidRPr="00CC3771">
        <w:t>The strength and consistency of wind</w:t>
      </w:r>
      <w:r>
        <w:t xml:space="preserve"> </w:t>
      </w:r>
      <w:r w:rsidRPr="00CC3771">
        <w:t>speeds are high by Australian and international standards.</w:t>
      </w:r>
    </w:p>
    <w:p w14:paraId="37C707D4" w14:textId="77777777" w:rsidR="00F268B4" w:rsidRPr="00CC3771" w:rsidRDefault="00F268B4" w:rsidP="00F268B4">
      <w:pPr>
        <w:pStyle w:val="ListBullet"/>
        <w:spacing w:after="240"/>
      </w:pPr>
      <w:r w:rsidRPr="00CC3771">
        <w:t>Victoria’s first mover advantage in Australia presents opportunities for manufacturing that may extend to other jurisdictions over time.</w:t>
      </w:r>
    </w:p>
    <w:p w14:paraId="69842309" w14:textId="77777777" w:rsidR="00F268B4" w:rsidRPr="00CC3771" w:rsidRDefault="00F268B4" w:rsidP="00F268B4">
      <w:pPr>
        <w:pStyle w:val="Heading4"/>
      </w:pPr>
      <w:r w:rsidRPr="00CC3771">
        <w:t>Manufacturing Opportunity</w:t>
      </w:r>
    </w:p>
    <w:p w14:paraId="234929F1" w14:textId="77777777" w:rsidR="00F268B4" w:rsidRDefault="00F268B4" w:rsidP="00F268B4">
      <w:pPr>
        <w:pStyle w:val="BodyText"/>
        <w:spacing w:after="360"/>
      </w:pPr>
      <w:r w:rsidRPr="00CC3771">
        <w:t>Victoria is estimated to need up to 222 offshore wind turbines by 2035. Initial Victorian demand for turbines creates a foundation for providing OEMs with long</w:t>
      </w:r>
      <w:r w:rsidRPr="00CC3771">
        <w:rPr>
          <w:rFonts w:ascii="Cambria Math" w:hAnsi="Cambria Math" w:cs="Cambria Math"/>
        </w:rPr>
        <w:t>‑</w:t>
      </w:r>
      <w:r w:rsidRPr="00CC3771">
        <w:t>term pipeline certainty.</w:t>
      </w:r>
    </w:p>
    <w:p w14:paraId="0C2C5DB3" w14:textId="77777777" w:rsidR="00F268B4" w:rsidRDefault="00F268B4">
      <w:pPr>
        <w:suppressAutoHyphens w:val="0"/>
        <w:spacing w:after="160"/>
        <w:rPr>
          <w:rFonts w:cs="Times New Roman (Body CS)"/>
          <w:kern w:val="24"/>
          <w:lang w:val="en-GB"/>
        </w:rPr>
      </w:pPr>
      <w:r>
        <w:br w:type="page"/>
      </w:r>
    </w:p>
    <w:p w14:paraId="0BD1D378" w14:textId="77777777" w:rsidR="00AA6A15" w:rsidRPr="00DB439B" w:rsidRDefault="00AA6A15" w:rsidP="00AA6A15">
      <w:pPr>
        <w:pStyle w:val="Heading1"/>
      </w:pPr>
      <w:bookmarkStart w:id="20" w:name="_Toc179468026"/>
      <w:bookmarkStart w:id="21" w:name="_Toc179905034"/>
      <w:r w:rsidRPr="00DB439B">
        <w:lastRenderedPageBreak/>
        <w:t>Access to Victoria’s world-class renewable energy</w:t>
      </w:r>
      <w:r>
        <w:t xml:space="preserve"> </w:t>
      </w:r>
      <w:r w:rsidRPr="00DB439B">
        <w:t>talent</w:t>
      </w:r>
      <w:bookmarkEnd w:id="20"/>
      <w:bookmarkEnd w:id="21"/>
    </w:p>
    <w:p w14:paraId="0BAA61B0" w14:textId="77777777" w:rsidR="00AA6A15" w:rsidRPr="00DB439B" w:rsidRDefault="00AA6A15" w:rsidP="00AA6A15">
      <w:pPr>
        <w:pStyle w:val="SectionIntroParagraph"/>
      </w:pPr>
      <w:r w:rsidRPr="00DB439B">
        <w:t>Our growing, highly-skilled workforce drives project delivery and fosters industry</w:t>
      </w:r>
      <w:r>
        <w:t xml:space="preserve"> </w:t>
      </w:r>
      <w:r w:rsidRPr="00DB439B">
        <w:t>growth. To meet the needs of the sector, the Victorian Government has</w:t>
      </w:r>
      <w:r>
        <w:t xml:space="preserve"> </w:t>
      </w:r>
      <w:r w:rsidRPr="00DB439B">
        <w:t>committed to significant new energy skills and workforce initiatives.</w:t>
      </w:r>
    </w:p>
    <w:p w14:paraId="227259AB" w14:textId="77777777" w:rsidR="00AA6A15" w:rsidRPr="00DB439B" w:rsidRDefault="00AA6A15" w:rsidP="00AA6A15">
      <w:pPr>
        <w:pStyle w:val="Heading4"/>
      </w:pPr>
      <w:r w:rsidRPr="00DB439B">
        <w:t>World-class education and training</w:t>
      </w:r>
    </w:p>
    <w:p w14:paraId="17E6C436" w14:textId="77777777" w:rsidR="00AA6A15" w:rsidRPr="00DB439B" w:rsidRDefault="00AA6A15" w:rsidP="00AA6A15">
      <w:pPr>
        <w:pStyle w:val="BodyText"/>
        <w:spacing w:after="60"/>
      </w:pPr>
      <w:r w:rsidRPr="00DB439B">
        <w:t>Victoria has a globally renowned education and training system, including:</w:t>
      </w:r>
    </w:p>
    <w:p w14:paraId="0B02079A" w14:textId="77777777" w:rsidR="00AA6A15" w:rsidRPr="00DB439B" w:rsidRDefault="00AA6A15" w:rsidP="00AA6A15">
      <w:pPr>
        <w:pStyle w:val="ListBullet"/>
      </w:pPr>
      <w:r w:rsidRPr="00DB439B">
        <w:t>2 global ‘Top 50’ universities</w:t>
      </w:r>
      <w:r>
        <w:t xml:space="preserve"> (Source: </w:t>
      </w:r>
      <w:r w:rsidRPr="00DB439B">
        <w:t xml:space="preserve">QS World University Rankings 2024 </w:t>
      </w:r>
      <w:hyperlink r:id="rId35" w:tooltip="Hyperlink to QS World University Rankings 2024 website" w:history="1">
        <w:r w:rsidRPr="00DB439B">
          <w:rPr>
            <w:rStyle w:val="Hyperlink"/>
          </w:rPr>
          <w:t>topuniversities.com/world-university-rankings?page=2</w:t>
        </w:r>
      </w:hyperlink>
      <w:r>
        <w:t>)</w:t>
      </w:r>
    </w:p>
    <w:p w14:paraId="67EA4EB6" w14:textId="77777777" w:rsidR="00AA6A15" w:rsidRPr="00DB439B" w:rsidRDefault="00AA6A15" w:rsidP="00AA6A15">
      <w:pPr>
        <w:pStyle w:val="ListBullet"/>
      </w:pPr>
      <w:r w:rsidRPr="00DB439B">
        <w:t>4 dual-sector universities (offering both tertiary and vocational education).</w:t>
      </w:r>
    </w:p>
    <w:p w14:paraId="22DA814F" w14:textId="77777777" w:rsidR="00AA6A15" w:rsidRPr="00DB439B" w:rsidRDefault="00AA6A15" w:rsidP="00AA6A15">
      <w:pPr>
        <w:pStyle w:val="ListBullet"/>
      </w:pPr>
      <w:r w:rsidRPr="00DB439B">
        <w:t>12 independent technical and further education (TAFE) locations under a single TAFE network.</w:t>
      </w:r>
    </w:p>
    <w:p w14:paraId="339F861F" w14:textId="77777777" w:rsidR="00AA6A15" w:rsidRPr="00DB439B" w:rsidRDefault="00AA6A15" w:rsidP="00AA6A15">
      <w:pPr>
        <w:pStyle w:val="ListBullet"/>
      </w:pPr>
      <w:r w:rsidRPr="00DB439B">
        <w:t>a diverse talent pool with strong growth across the broad range of occupations relevant to the renewable energy sector.</w:t>
      </w:r>
    </w:p>
    <w:p w14:paraId="09E9259D" w14:textId="77777777" w:rsidR="00AA6A15" w:rsidRPr="00DB439B" w:rsidRDefault="00AA6A15" w:rsidP="00AA6A15">
      <w:pPr>
        <w:pStyle w:val="ListBullet"/>
      </w:pPr>
      <w:r w:rsidRPr="00DB439B">
        <w:t>the highest number of engineering managers of any Australian state or territory.</w:t>
      </w:r>
    </w:p>
    <w:p w14:paraId="50549D0D" w14:textId="77777777" w:rsidR="00AA6A15" w:rsidRPr="00DB439B" w:rsidRDefault="00AA6A15" w:rsidP="00AA6A15">
      <w:pPr>
        <w:pStyle w:val="Heading4"/>
      </w:pPr>
      <w:r w:rsidRPr="00DB439B">
        <w:t>Government investment in skills and workforce</w:t>
      </w:r>
    </w:p>
    <w:p w14:paraId="5919CB38" w14:textId="77777777" w:rsidR="00AA6A15" w:rsidRPr="00DB439B" w:rsidRDefault="00AA6A15" w:rsidP="00AA6A15">
      <w:pPr>
        <w:pStyle w:val="BodyText"/>
        <w:spacing w:after="60"/>
      </w:pPr>
      <w:r w:rsidRPr="00DB439B">
        <w:t>The Victorian Government is investing in the skills and workforce requirements needed for Victoria’s transition to a renewable energy future. Major initiatives include:</w:t>
      </w:r>
    </w:p>
    <w:p w14:paraId="4D9618D5" w14:textId="77777777" w:rsidR="00AA6A15" w:rsidRDefault="00AA6A15" w:rsidP="00AA6A15">
      <w:pPr>
        <w:pStyle w:val="ListBullet"/>
      </w:pPr>
      <w:r w:rsidRPr="00DB439B">
        <w:t xml:space="preserve">The Victorian Energy Jobs Plan, which will set out actions to develop the workforce required to deliver our nation-leading target of 95 per cent renewable electricity </w:t>
      </w:r>
      <w:r w:rsidRPr="00DB439B">
        <w:lastRenderedPageBreak/>
        <w:t>generation by 2035 and drive investment confidence. The plan is due to be released in early 2025.</w:t>
      </w:r>
    </w:p>
    <w:p w14:paraId="12437607" w14:textId="77777777" w:rsidR="00AA6A15" w:rsidRPr="00DB439B" w:rsidRDefault="00AA6A15" w:rsidP="00AA6A15">
      <w:pPr>
        <w:pStyle w:val="ListBullet"/>
      </w:pPr>
      <w:r w:rsidRPr="00DB439B">
        <w:t>Establishing the SEC Centre of Training Excellence to attract and train a skilled renewable energy workforce, working with industry to ensure Victoria has the workers required to support the energy transition.</w:t>
      </w:r>
    </w:p>
    <w:p w14:paraId="4113AB6E" w14:textId="77777777" w:rsidR="00AA6A15" w:rsidRDefault="00AA6A15" w:rsidP="00AA6A15">
      <w:pPr>
        <w:pStyle w:val="ListBullet"/>
        <w:rPr>
          <w:lang w:val="en-AU"/>
        </w:rPr>
      </w:pPr>
      <w:r w:rsidRPr="00DB439B">
        <w:rPr>
          <w:lang w:val="en-AU"/>
        </w:rPr>
        <w:t>The Wind Worker Training Centre and Renewable Hydrogen Worker Training Centres are funded initiatives to ensure Victoria has a pipeline of skilled workers to meet workforce needs and deliver the wind and renewable hydrogen projects now and in the future.</w:t>
      </w:r>
    </w:p>
    <w:p w14:paraId="445B8D77" w14:textId="77777777" w:rsidR="00AA6A15" w:rsidRDefault="00AA6A15">
      <w:pPr>
        <w:suppressAutoHyphens w:val="0"/>
        <w:spacing w:after="160"/>
        <w:rPr>
          <w:rFonts w:cs="Times New Roman (Body CS)"/>
          <w:kern w:val="24"/>
          <w:lang w:val="en-GB"/>
        </w:rPr>
      </w:pPr>
      <w:r>
        <w:br w:type="page"/>
      </w:r>
    </w:p>
    <w:p w14:paraId="7418D22A" w14:textId="77777777" w:rsidR="00D10077" w:rsidRPr="00DB439B" w:rsidRDefault="00D10077" w:rsidP="00D10077">
      <w:pPr>
        <w:pStyle w:val="Heading1"/>
      </w:pPr>
      <w:bookmarkStart w:id="22" w:name="_Toc179468027"/>
      <w:bookmarkStart w:id="23" w:name="_Toc179905035"/>
      <w:r w:rsidRPr="00DB439B">
        <w:lastRenderedPageBreak/>
        <w:t>In-demand critical mineral deposits</w:t>
      </w:r>
      <w:bookmarkEnd w:id="22"/>
      <w:bookmarkEnd w:id="23"/>
    </w:p>
    <w:p w14:paraId="774390F6" w14:textId="77777777" w:rsidR="00D10077" w:rsidRPr="00DB439B" w:rsidRDefault="00D10077" w:rsidP="00D10077">
      <w:pPr>
        <w:pStyle w:val="SectionIntroParagraph"/>
      </w:pPr>
      <w:r w:rsidRPr="00DB439B">
        <w:t>The global energy transition presents significant opportunities to invest in Victoria’s critical minerals sector – from mining to manufacturing.</w:t>
      </w:r>
    </w:p>
    <w:p w14:paraId="761D295F" w14:textId="77777777" w:rsidR="00D10077" w:rsidRPr="00DB439B" w:rsidRDefault="00D10077" w:rsidP="00D10077">
      <w:pPr>
        <w:pStyle w:val="Heading4"/>
      </w:pPr>
      <w:r w:rsidRPr="00DB439B">
        <w:t>Valuable resources</w:t>
      </w:r>
    </w:p>
    <w:p w14:paraId="57C91307" w14:textId="77777777" w:rsidR="00D10077" w:rsidRPr="00DB439B" w:rsidRDefault="00D10077" w:rsidP="00D10077">
      <w:pPr>
        <w:pStyle w:val="BodyText"/>
      </w:pPr>
      <w:r w:rsidRPr="00DB439B">
        <w:t>Regional Victoria has significant mineral sand deposits containing titanium, zirconium, and rare earth elements, as well as other resources like antimony, copper, high-purity alumina, and</w:t>
      </w:r>
      <w:r>
        <w:t xml:space="preserve"> </w:t>
      </w:r>
      <w:r w:rsidRPr="00DB439B">
        <w:t>silica.</w:t>
      </w:r>
    </w:p>
    <w:p w14:paraId="57EBD493" w14:textId="77777777" w:rsidR="00D10077" w:rsidRPr="00DB439B" w:rsidRDefault="00D10077" w:rsidP="00D10077">
      <w:pPr>
        <w:pStyle w:val="BodyText"/>
        <w:spacing w:after="60"/>
      </w:pPr>
      <w:r w:rsidRPr="00DB439B">
        <w:t>Heavy mineral sand deposits in the Murray Basin, in the northwest of the state, have some of the largest resources of ilmenite, rutile and zircon, with:</w:t>
      </w:r>
    </w:p>
    <w:p w14:paraId="0D46EDDD" w14:textId="77777777" w:rsidR="00D10077" w:rsidRPr="00DB439B" w:rsidRDefault="00D10077" w:rsidP="00D10077">
      <w:pPr>
        <w:pStyle w:val="ListBullet"/>
      </w:pPr>
      <w:r w:rsidRPr="00DB439B">
        <w:t>22% of Australia’s ilmenite (~7% of global economically demonstrated resource)</w:t>
      </w:r>
    </w:p>
    <w:p w14:paraId="751FDE52" w14:textId="77777777" w:rsidR="00D10077" w:rsidRPr="00DB439B" w:rsidRDefault="00D10077" w:rsidP="00D10077">
      <w:pPr>
        <w:pStyle w:val="ListBullet"/>
      </w:pPr>
      <w:r w:rsidRPr="00DB439B">
        <w:t>51% of Australia’s rutile (~32% of global economically demonstrated resource)</w:t>
      </w:r>
    </w:p>
    <w:p w14:paraId="62A0E1FA" w14:textId="77777777" w:rsidR="00D10077" w:rsidRPr="00DB439B" w:rsidRDefault="00D10077" w:rsidP="00D10077">
      <w:pPr>
        <w:pStyle w:val="ListBullet"/>
        <w:spacing w:after="240"/>
      </w:pPr>
      <w:r w:rsidRPr="00DB439B">
        <w:t>39% of Australia’s zircon (~27% of global economically demonstrated resource).</w:t>
      </w:r>
    </w:p>
    <w:p w14:paraId="510A2D21" w14:textId="77777777" w:rsidR="00D10077" w:rsidRPr="00DB439B" w:rsidRDefault="00D10077" w:rsidP="00D10077">
      <w:pPr>
        <w:pStyle w:val="BodyText"/>
        <w:spacing w:after="60"/>
      </w:pPr>
      <w:r w:rsidRPr="00DB439B">
        <w:t>These deposits could support downstream processing and metallisation of titanium and/or rare earth metals.</w:t>
      </w:r>
    </w:p>
    <w:p w14:paraId="0E7227C1" w14:textId="77777777" w:rsidR="00D10077" w:rsidRPr="00DB439B" w:rsidRDefault="00D10077" w:rsidP="00D10077">
      <w:pPr>
        <w:pStyle w:val="ListBullet"/>
      </w:pPr>
      <w:r w:rsidRPr="00DB439B">
        <w:t>REEs or Rare earth elements are found in monazite and xenotime in Victoria’s mineral sand deposits</w:t>
      </w:r>
    </w:p>
    <w:p w14:paraId="4C6BC5A5" w14:textId="77777777" w:rsidR="00D10077" w:rsidRPr="00DB439B" w:rsidRDefault="00D10077" w:rsidP="00D10077">
      <w:pPr>
        <w:pStyle w:val="ListBullet"/>
      </w:pPr>
      <w:r w:rsidRPr="00DB439B">
        <w:t>Titanium is found in ilmenite and rutile</w:t>
      </w:r>
    </w:p>
    <w:p w14:paraId="5D8A1D10" w14:textId="77777777" w:rsidR="00D10077" w:rsidRDefault="00D10077" w:rsidP="00D10077">
      <w:pPr>
        <w:pStyle w:val="ListBullet"/>
        <w:rPr>
          <w:lang w:val="en-AU"/>
        </w:rPr>
      </w:pPr>
      <w:r w:rsidRPr="00DB439B">
        <w:rPr>
          <w:lang w:val="en-AU"/>
        </w:rPr>
        <w:t>Zirconium is found in zircon.</w:t>
      </w:r>
    </w:p>
    <w:p w14:paraId="1689CBA7" w14:textId="77777777" w:rsidR="00D10077" w:rsidRPr="00DB439B" w:rsidRDefault="00D10077" w:rsidP="00D10077">
      <w:pPr>
        <w:pStyle w:val="Heading4"/>
        <w:spacing w:after="240"/>
      </w:pPr>
      <w:r w:rsidRPr="00DB439B">
        <w:t>Victoria’s potential mining-to-manufacturing opportunities</w:t>
      </w:r>
    </w:p>
    <w:p w14:paraId="3F567B2B" w14:textId="77777777" w:rsidR="00D10077" w:rsidRPr="00DB439B" w:rsidRDefault="00D10077" w:rsidP="00732151">
      <w:pPr>
        <w:pStyle w:val="BodyText"/>
        <w:numPr>
          <w:ilvl w:val="0"/>
          <w:numId w:val="25"/>
        </w:numPr>
      </w:pPr>
      <w:r w:rsidRPr="00DB439B">
        <w:rPr>
          <w:b/>
          <w:bCs/>
        </w:rPr>
        <w:t>Permanent magnet manufacture</w:t>
      </w:r>
      <w:r w:rsidRPr="00DB439B">
        <w:rPr>
          <w:b/>
          <w:bCs/>
        </w:rPr>
        <w:br/>
      </w:r>
      <w:r w:rsidRPr="00DB439B">
        <w:t>REEs or Rare earth elements</w:t>
      </w:r>
    </w:p>
    <w:p w14:paraId="73BFEE9E" w14:textId="77777777" w:rsidR="00D10077" w:rsidRPr="00DB439B" w:rsidRDefault="00D10077" w:rsidP="00732151">
      <w:pPr>
        <w:pStyle w:val="BodyText"/>
        <w:numPr>
          <w:ilvl w:val="0"/>
          <w:numId w:val="25"/>
        </w:numPr>
      </w:pPr>
      <w:r w:rsidRPr="00DB439B">
        <w:rPr>
          <w:b/>
          <w:bCs/>
        </w:rPr>
        <w:lastRenderedPageBreak/>
        <w:t>Wind turbines from the Wimmera</w:t>
      </w:r>
      <w:r w:rsidRPr="00DB439B">
        <w:rPr>
          <w:b/>
          <w:bCs/>
        </w:rPr>
        <w:br/>
      </w:r>
      <w:r w:rsidRPr="00DB439B">
        <w:t>REEs and copper</w:t>
      </w:r>
    </w:p>
    <w:p w14:paraId="253226F9" w14:textId="77777777" w:rsidR="00D10077" w:rsidRPr="00DB439B" w:rsidRDefault="00D10077" w:rsidP="00732151">
      <w:pPr>
        <w:pStyle w:val="BodyText"/>
        <w:numPr>
          <w:ilvl w:val="0"/>
          <w:numId w:val="25"/>
        </w:numPr>
      </w:pPr>
      <w:r w:rsidRPr="00DB439B">
        <w:rPr>
          <w:b/>
          <w:bCs/>
        </w:rPr>
        <w:t>Modern battery components</w:t>
      </w:r>
      <w:r w:rsidRPr="00DB439B">
        <w:rPr>
          <w:b/>
          <w:bCs/>
        </w:rPr>
        <w:br/>
      </w:r>
      <w:r w:rsidRPr="00DB439B">
        <w:t>Lithium and  antimony</w:t>
      </w:r>
    </w:p>
    <w:p w14:paraId="100DF6CD" w14:textId="77777777" w:rsidR="00D10077" w:rsidRPr="00DB439B" w:rsidRDefault="00D10077" w:rsidP="00732151">
      <w:pPr>
        <w:pStyle w:val="BodyText"/>
        <w:numPr>
          <w:ilvl w:val="0"/>
          <w:numId w:val="25"/>
        </w:numPr>
      </w:pPr>
      <w:r w:rsidRPr="00DB439B">
        <w:rPr>
          <w:b/>
          <w:bCs/>
        </w:rPr>
        <w:t>Solar panel components</w:t>
      </w:r>
      <w:r w:rsidRPr="00DB439B">
        <w:rPr>
          <w:b/>
          <w:bCs/>
        </w:rPr>
        <w:br/>
      </w:r>
      <w:r w:rsidRPr="00DB439B">
        <w:t>Silicon, titanium and antimony</w:t>
      </w:r>
    </w:p>
    <w:p w14:paraId="02C1CFDF" w14:textId="77777777" w:rsidR="00D10077" w:rsidRDefault="00D10077" w:rsidP="00732151">
      <w:pPr>
        <w:pStyle w:val="BodyText"/>
        <w:numPr>
          <w:ilvl w:val="0"/>
          <w:numId w:val="25"/>
        </w:numPr>
      </w:pPr>
      <w:r w:rsidRPr="00DB439B">
        <w:rPr>
          <w:b/>
          <w:bCs/>
        </w:rPr>
        <w:t>Hydrogen electrolysers</w:t>
      </w:r>
      <w:r w:rsidRPr="00DB439B">
        <w:rPr>
          <w:b/>
          <w:bCs/>
        </w:rPr>
        <w:br/>
      </w:r>
      <w:r w:rsidRPr="00DB439B">
        <w:t>Zircon and titanium</w:t>
      </w:r>
    </w:p>
    <w:p w14:paraId="3E9F292D" w14:textId="515EC2E1" w:rsidR="00D10077" w:rsidRPr="00D10077" w:rsidRDefault="00D10077" w:rsidP="00D10077">
      <w:pPr>
        <w:pStyle w:val="Heading4"/>
      </w:pPr>
      <w:r>
        <w:t xml:space="preserve">Case study: </w:t>
      </w:r>
      <w:r w:rsidRPr="00D10077">
        <w:t>Melbourne Renewable Energy Project</w:t>
      </w:r>
    </w:p>
    <w:p w14:paraId="7AFB7BE9" w14:textId="77777777" w:rsidR="00D10077" w:rsidRPr="00D10077" w:rsidRDefault="00D10077" w:rsidP="00D10077">
      <w:pPr>
        <w:pStyle w:val="BodyText"/>
      </w:pPr>
      <w:r w:rsidRPr="00D10077">
        <w:t>In 2017, a 14-member buying group led by the City of Melbourne signed one of Australia’s first renewable energy corporate Power Purchase Agreements (PPA). The Melbourne Renewable Energy Project (MREP1) marked the first time in Australia that a group of local governments, cultural institutions, universities and corporations collectively purchased renewable energy from a newly built facility. The MREP Group’s procurement of 88 GWh per year catalysed the construction of a $200 million, 39 turbine, 80 MW wind farm at Crowlands near Ararat; avoiding 96,800 tonnes of greenhouse pollution annually and enabling member organisations to secure long-term electricity price certainty.</w:t>
      </w:r>
    </w:p>
    <w:p w14:paraId="7AC6DA5A" w14:textId="77777777" w:rsidR="00D10077" w:rsidRDefault="00D10077" w:rsidP="00D10077">
      <w:pPr>
        <w:pStyle w:val="BodyText"/>
        <w:rPr>
          <w:lang w:val="en-AU"/>
        </w:rPr>
      </w:pPr>
      <w:r w:rsidRPr="00D10077">
        <w:rPr>
          <w:lang w:val="en-AU"/>
        </w:rPr>
        <w:t>Building on the success and insights of MREP1, the City of Melbourne brought together a second renewable energy buying group (MREP2) with 7 large energy users from across the city and facilitated them through the process of procuring a renewable PPA. In June 2020, the MREP2 group successfully transacted a 10-year, multi-million dollar, 110 GWh per annum PPA backed by a portfolio of Victorian wind assets. The MREP2 deal powers 14 shopping centres, 9 office buildings, 7 educational campuses and 4 manufacturing facilities, avoiding 123,000 tonnes of greenhouse pollution annually.</w:t>
      </w:r>
    </w:p>
    <w:p w14:paraId="33BD201C" w14:textId="77777777" w:rsidR="00D10077" w:rsidRDefault="00D10077" w:rsidP="00D10077">
      <w:pPr>
        <w:pStyle w:val="Heading1"/>
      </w:pPr>
      <w:bookmarkStart w:id="24" w:name="_Toc179905036"/>
      <w:r w:rsidRPr="00D10077">
        <w:lastRenderedPageBreak/>
        <w:t>Celebrating success in our wind sector</w:t>
      </w:r>
      <w:bookmarkEnd w:id="24"/>
    </w:p>
    <w:p w14:paraId="21FFFAF8" w14:textId="05AAEC1C" w:rsidR="00937FC6" w:rsidRPr="001D0938" w:rsidRDefault="00937FC6" w:rsidP="001D0938">
      <w:pPr>
        <w:pStyle w:val="BodyText"/>
        <w:rPr>
          <w:i/>
          <w:iCs/>
        </w:rPr>
      </w:pPr>
      <w:r w:rsidRPr="001D0938">
        <w:rPr>
          <w:i/>
          <w:iCs/>
        </w:rPr>
        <w:t>“Victoria is blessed with a world class wind resource and the Golden Plains Wind Farm site is traversed by a double circuit 500 kV transmission line, giving it one of the strongest and most reliable connection points into the national electricity network in the country”</w:t>
      </w:r>
      <w:r w:rsidR="001D0938">
        <w:rPr>
          <w:i/>
          <w:iCs/>
        </w:rPr>
        <w:t xml:space="preserve"> –</w:t>
      </w:r>
      <w:r w:rsidRPr="00937FC6">
        <w:rPr>
          <w:b/>
          <w:bCs/>
        </w:rPr>
        <w:t>Westwind Energy</w:t>
      </w:r>
    </w:p>
    <w:p w14:paraId="77ABBA57" w14:textId="35AA67FD" w:rsidR="00937FC6" w:rsidRPr="00937FC6" w:rsidRDefault="00937FC6" w:rsidP="00937FC6">
      <w:pPr>
        <w:pStyle w:val="Heading4"/>
      </w:pPr>
      <w:r>
        <w:t xml:space="preserve">Case study: </w:t>
      </w:r>
      <w:r w:rsidRPr="00937FC6">
        <w:t>Golden Plains Wind Farm</w:t>
      </w:r>
    </w:p>
    <w:p w14:paraId="12189AFD" w14:textId="77777777" w:rsidR="00937FC6" w:rsidRPr="00937FC6" w:rsidRDefault="00937FC6" w:rsidP="001D0938">
      <w:pPr>
        <w:pStyle w:val="BodyText"/>
        <w:ind w:right="-143"/>
      </w:pPr>
      <w:r w:rsidRPr="00937FC6">
        <w:t>Golden Plains Wind Farm is located 60km west of Geelong and 45km south of Ballarat in Western Victoria. Upon completion, it is expected that the project will boast 1,333 MW of installed generation capacity from 215 wind turbines. Golden Plains Wind Farm will generate more than 4 TWh of electricity in an average year, which is equivalent to over 9% of Victoria’s current electricity grid demand. Once completed, the Golden Plains Wind Farm will be Australia’s largest wind farm with a total investment volume well above $4 billion.</w:t>
      </w:r>
    </w:p>
    <w:p w14:paraId="54FE874B" w14:textId="77777777" w:rsidR="00937FC6" w:rsidRPr="00937FC6" w:rsidRDefault="00937FC6" w:rsidP="001D0938">
      <w:pPr>
        <w:pStyle w:val="BodyText"/>
        <w:ind w:right="-285"/>
      </w:pPr>
      <w:r w:rsidRPr="00937FC6">
        <w:t xml:space="preserve">The project has been developed in two stages – East &amp; West. Golden Plains Wind Farm - East (756 MW) reached its final investment decision in November 2022, with TagEnergy holding 85% ownership of the first stage of the project, and Inka Group having the remaining 15%. Golden Plains Wind Farm – West (574 MW), the second stage of the project, reached its financial investment decision in June 2024. This stage of the project is owned solely by TagEnergy. TagEnergy has structured the financing of this mammoth project on a purely market-based electricity offtake model, which is testament to the project’s competitiveness in the energy market and strong technical and financial fundamentals. </w:t>
      </w:r>
    </w:p>
    <w:p w14:paraId="4399289B" w14:textId="77777777" w:rsidR="00937FC6" w:rsidRPr="00937FC6" w:rsidRDefault="00937FC6" w:rsidP="00937FC6">
      <w:pPr>
        <w:pStyle w:val="BodyText"/>
      </w:pPr>
      <w:r w:rsidRPr="00937FC6">
        <w:t>Golden Plains Wind Farm has been developed by Westwind Energy, Victoria’s largest wind energy developer.</w:t>
      </w:r>
    </w:p>
    <w:p w14:paraId="4A931824" w14:textId="1AFFB5BE" w:rsidR="00937FC6" w:rsidRDefault="00937FC6" w:rsidP="00937FC6">
      <w:pPr>
        <w:pStyle w:val="BodyText"/>
        <w:rPr>
          <w:u w:val="thick"/>
          <w:lang w:val="en-AU"/>
        </w:rPr>
      </w:pPr>
      <w:r w:rsidRPr="00937FC6">
        <w:rPr>
          <w:lang w:val="en-AU"/>
        </w:rPr>
        <w:t>For more information, visit</w:t>
      </w:r>
      <w:r>
        <w:rPr>
          <w:lang w:val="en-AU"/>
        </w:rPr>
        <w:t>:</w:t>
      </w:r>
      <w:r w:rsidRPr="00937FC6">
        <w:rPr>
          <w:lang w:val="en-AU"/>
        </w:rPr>
        <w:t xml:space="preserve"> </w:t>
      </w:r>
      <w:hyperlink r:id="rId36" w:tooltip="Hyperlink to Golden Plains Wind Farm website" w:history="1">
        <w:r w:rsidRPr="00F15AAB">
          <w:rPr>
            <w:rStyle w:val="Hyperlink"/>
            <w:lang w:val="en-AU"/>
          </w:rPr>
          <w:t>goldenplainswindfarm.com.au</w:t>
        </w:r>
      </w:hyperlink>
    </w:p>
    <w:p w14:paraId="70ABC33B" w14:textId="28D4697E" w:rsidR="00937FC6" w:rsidRPr="00937FC6" w:rsidRDefault="00937FC6" w:rsidP="00937FC6">
      <w:pPr>
        <w:pStyle w:val="Heading4"/>
      </w:pPr>
      <w:r>
        <w:lastRenderedPageBreak/>
        <w:t xml:space="preserve">Case study: </w:t>
      </w:r>
      <w:r w:rsidRPr="00937FC6">
        <w:t xml:space="preserve">Iberdrola </w:t>
      </w:r>
    </w:p>
    <w:p w14:paraId="086D934A" w14:textId="77777777" w:rsidR="00937FC6" w:rsidRPr="00937FC6" w:rsidRDefault="00937FC6" w:rsidP="00937FC6">
      <w:pPr>
        <w:pStyle w:val="BodyText"/>
      </w:pPr>
      <w:r w:rsidRPr="00937FC6">
        <w:t>Iberdrola is a global electricity utility company that operates 1.5 GW of nameplate capacity in Australia, making it one of the largest renewable energy businesses in the country.</w:t>
      </w:r>
    </w:p>
    <w:p w14:paraId="6EB84417" w14:textId="444AC473" w:rsidR="00937FC6" w:rsidRPr="00937FC6" w:rsidRDefault="00937FC6" w:rsidP="00937FC6">
      <w:pPr>
        <w:pStyle w:val="BodyText"/>
      </w:pPr>
      <w:r w:rsidRPr="00937FC6">
        <w:t>Within Victoria, Iberdrola Australia provides commercial and industrial customers with green energy solutions, including retail green energy supply and behind-the-meter technologies. To service this customer base, Iberdrola Australia has entered into Power Purchase Agreements with Cherry Tree Wind Farm, a 57.6 MW generator located near Seymour in Victoria</w:t>
      </w:r>
      <w:r>
        <w:t>.</w:t>
      </w:r>
    </w:p>
    <w:p w14:paraId="4997D930" w14:textId="63EDE8CA" w:rsidR="00937FC6" w:rsidRPr="00937FC6" w:rsidRDefault="00937FC6" w:rsidP="00937FC6">
      <w:pPr>
        <w:pStyle w:val="BodyText"/>
      </w:pPr>
      <w:r w:rsidRPr="00937FC6">
        <w:rPr>
          <w:lang w:val="en-AU"/>
        </w:rPr>
        <w:t xml:space="preserve">For more information, visit: </w:t>
      </w:r>
      <w:hyperlink r:id="rId37" w:tooltip="Hyperlink to Iberdrola website" w:history="1">
        <w:r w:rsidRPr="00F15AAB">
          <w:rPr>
            <w:rStyle w:val="Hyperlink"/>
            <w:lang w:val="en-AU"/>
          </w:rPr>
          <w:t>www.iberdrola.com.au</w:t>
        </w:r>
      </w:hyperlink>
    </w:p>
    <w:p w14:paraId="08A16E2A" w14:textId="77777777" w:rsidR="00937FC6" w:rsidRPr="00937FC6" w:rsidRDefault="00937FC6" w:rsidP="00937FC6">
      <w:pPr>
        <w:pStyle w:val="BodyText"/>
      </w:pPr>
    </w:p>
    <w:p w14:paraId="06E87E39" w14:textId="77777777" w:rsidR="00D10077" w:rsidRDefault="00D10077">
      <w:pPr>
        <w:suppressAutoHyphens w:val="0"/>
        <w:spacing w:after="160"/>
        <w:rPr>
          <w:rFonts w:cs="Times New Roman (Body CS)"/>
          <w:kern w:val="24"/>
          <w:lang w:val="en-GB"/>
        </w:rPr>
      </w:pPr>
      <w:r>
        <w:br w:type="page"/>
      </w:r>
    </w:p>
    <w:p w14:paraId="2DD24243" w14:textId="77777777" w:rsidR="00D10077" w:rsidRPr="00D10077" w:rsidRDefault="00D10077" w:rsidP="00D10077">
      <w:pPr>
        <w:pStyle w:val="Heading1"/>
      </w:pPr>
      <w:bookmarkStart w:id="25" w:name="_Toc179905037"/>
      <w:r w:rsidRPr="00D10077">
        <w:lastRenderedPageBreak/>
        <w:t>Co-locate with energy storage to maximise output</w:t>
      </w:r>
      <w:bookmarkEnd w:id="25"/>
    </w:p>
    <w:p w14:paraId="6CC43E20" w14:textId="77777777" w:rsidR="00937FC6" w:rsidRPr="00937FC6" w:rsidRDefault="00937FC6" w:rsidP="000B5F38">
      <w:pPr>
        <w:pStyle w:val="SectionIntroParagraph"/>
      </w:pPr>
      <w:r w:rsidRPr="00937FC6">
        <w:t>Pairing renewable generation with storage assets can boost revenue, reduce costs and provide the potential to leverage existing development sites.</w:t>
      </w:r>
    </w:p>
    <w:p w14:paraId="3F904923" w14:textId="77777777" w:rsidR="00937FC6" w:rsidRPr="00937FC6" w:rsidRDefault="00937FC6" w:rsidP="00937FC6">
      <w:pPr>
        <w:pStyle w:val="Heading4"/>
      </w:pPr>
      <w:r w:rsidRPr="00937FC6">
        <w:t>Victoria’s energy storage targets</w:t>
      </w:r>
    </w:p>
    <w:p w14:paraId="1D5292C4" w14:textId="77777777" w:rsidR="00937FC6" w:rsidRPr="00937FC6" w:rsidRDefault="00937FC6" w:rsidP="00937FC6">
      <w:pPr>
        <w:pStyle w:val="BodyText"/>
        <w:spacing w:after="60"/>
      </w:pPr>
      <w:r w:rsidRPr="00937FC6">
        <w:t>Victoria has set energy storage targets of:</w:t>
      </w:r>
    </w:p>
    <w:p w14:paraId="03D534E2" w14:textId="77777777" w:rsidR="00937FC6" w:rsidRPr="00937FC6" w:rsidRDefault="00937FC6" w:rsidP="00937FC6">
      <w:pPr>
        <w:pStyle w:val="ListBullet"/>
      </w:pPr>
      <w:r w:rsidRPr="00937FC6">
        <w:t>at least 2.6 GW of energy storage capacity by 2030</w:t>
      </w:r>
    </w:p>
    <w:p w14:paraId="255A871D" w14:textId="77777777" w:rsidR="00937FC6" w:rsidRPr="00937FC6" w:rsidRDefault="00937FC6" w:rsidP="00937FC6">
      <w:pPr>
        <w:pStyle w:val="ListBullet"/>
        <w:spacing w:after="240"/>
      </w:pPr>
      <w:r w:rsidRPr="00937FC6">
        <w:t>at least 6.3 GW by 2035.</w:t>
      </w:r>
    </w:p>
    <w:p w14:paraId="1CFE222D" w14:textId="77777777" w:rsidR="00937FC6" w:rsidRPr="00937FC6" w:rsidRDefault="00937FC6" w:rsidP="00937FC6">
      <w:pPr>
        <w:pStyle w:val="BodyText"/>
      </w:pPr>
      <w:r w:rsidRPr="00937FC6">
        <w:t>These energy storage targets will include short, medium and long-duration energy storage systems.</w:t>
      </w:r>
    </w:p>
    <w:p w14:paraId="5C71EC7E" w14:textId="744D1054" w:rsidR="00937FC6" w:rsidRPr="00937FC6" w:rsidRDefault="00937FC6" w:rsidP="00937FC6">
      <w:pPr>
        <w:pStyle w:val="BodyText"/>
      </w:pPr>
      <w:r w:rsidRPr="00937FC6">
        <w:t xml:space="preserve">For more information, visit: </w:t>
      </w:r>
      <w:hyperlink r:id="rId38" w:tooltip="Hyperlink to Energy Victoria website" w:history="1">
        <w:r w:rsidR="00F15AAB">
          <w:rPr>
            <w:rStyle w:val="Hyperlink"/>
          </w:rPr>
          <w:t>energy.vic.gov.au/renewable-energy/victorian-renewable-energy-and-storage-targets</w:t>
        </w:r>
      </w:hyperlink>
    </w:p>
    <w:p w14:paraId="6F6EDE07" w14:textId="364576F1" w:rsidR="00937FC6" w:rsidRDefault="00937FC6" w:rsidP="00937FC6">
      <w:pPr>
        <w:pStyle w:val="BodyText"/>
        <w:rPr>
          <w:u w:val="thick"/>
        </w:rPr>
      </w:pPr>
      <w:r w:rsidRPr="00937FC6">
        <w:t>For more information on Victoria's energy storage sector visit:</w:t>
      </w:r>
      <w:r w:rsidRPr="00937FC6">
        <w:br/>
      </w:r>
      <w:hyperlink r:id="rId39" w:tooltip="Hyperlink to Energy Victoria website" w:history="1">
        <w:r w:rsidRPr="00F15AAB">
          <w:rPr>
            <w:rStyle w:val="Hyperlink"/>
          </w:rPr>
          <w:t>energy.vic.gov.au/for-industry/investment-opportunities</w:t>
        </w:r>
      </w:hyperlink>
    </w:p>
    <w:p w14:paraId="0BD010D2" w14:textId="617595B6" w:rsidR="00937FC6" w:rsidRPr="00937FC6" w:rsidRDefault="00937FC6" w:rsidP="00937FC6">
      <w:pPr>
        <w:pStyle w:val="Heading4"/>
        <w:spacing w:before="240"/>
      </w:pPr>
      <w:r>
        <w:t xml:space="preserve">Case study: </w:t>
      </w:r>
      <w:r w:rsidRPr="00937FC6">
        <w:t>Dundonnell Wind Farm</w:t>
      </w:r>
    </w:p>
    <w:p w14:paraId="48220402" w14:textId="77777777" w:rsidR="00937FC6" w:rsidRPr="00937FC6" w:rsidRDefault="00937FC6" w:rsidP="00937FC6">
      <w:pPr>
        <w:pStyle w:val="BodyText"/>
      </w:pPr>
      <w:r w:rsidRPr="00937FC6">
        <w:t>The 336 MW Dundonnell Wind Farm is located near Mortlake, in Western Victoria. The $560 million project was successful under VRET1 and was awarded a support agreement with the State of Victoria in late 2018. In March 2020, it was the first of the VRET1 projects to generate electricity.</w:t>
      </w:r>
    </w:p>
    <w:p w14:paraId="5C0091A6" w14:textId="77777777" w:rsidR="00937FC6" w:rsidRPr="00937FC6" w:rsidRDefault="00937FC6" w:rsidP="00937FC6">
      <w:pPr>
        <w:pStyle w:val="BodyText"/>
      </w:pPr>
      <w:r w:rsidRPr="00937FC6">
        <w:lastRenderedPageBreak/>
        <w:t>The project includes 80 wind turbines, each one 4.2 MW with a diameter of 150 metres – the largest installed in Australia at the time.</w:t>
      </w:r>
    </w:p>
    <w:p w14:paraId="1CE06DBD" w14:textId="77777777" w:rsidR="00937FC6" w:rsidRPr="00937FC6" w:rsidRDefault="00937FC6" w:rsidP="00937FC6">
      <w:pPr>
        <w:pStyle w:val="BodyText"/>
      </w:pPr>
      <w:r w:rsidRPr="00937FC6">
        <w:t>The Dundonnell Wind Farm can produce enough clean energy each year to power about 245,000 homes.</w:t>
      </w:r>
    </w:p>
    <w:p w14:paraId="68DEBCBB" w14:textId="77777777" w:rsidR="00937FC6" w:rsidRPr="00937FC6" w:rsidRDefault="00937FC6" w:rsidP="00937FC6">
      <w:pPr>
        <w:pStyle w:val="BodyText"/>
      </w:pPr>
      <w:r w:rsidRPr="00937FC6">
        <w:t>Project owner Tilt Renewables was the recipient of the Clean Energy Council’s 2020 Community Engagement Award for its extensive and tailored engagement and benefit sharing programs which address key social, economic and environmental needs of the local community and surrounding region.</w:t>
      </w:r>
    </w:p>
    <w:p w14:paraId="5E2D30BA" w14:textId="581D45E4" w:rsidR="00937FC6" w:rsidRDefault="00F15AAB" w:rsidP="00937FC6">
      <w:pPr>
        <w:pStyle w:val="BodyText"/>
        <w:rPr>
          <w:u w:val="thick"/>
          <w:lang w:val="en-AU"/>
        </w:rPr>
      </w:pPr>
      <w:r w:rsidRPr="00937FC6">
        <w:t xml:space="preserve">For more information, visit: </w:t>
      </w:r>
      <w:hyperlink r:id="rId40" w:tooltip="Hyperlink to Tilt Renewables website" w:history="1">
        <w:r w:rsidR="00937FC6" w:rsidRPr="00F15AAB">
          <w:rPr>
            <w:rStyle w:val="Hyperlink"/>
            <w:lang w:val="en-AU"/>
          </w:rPr>
          <w:t>tiltrenewables.com/assets-and-projects/Dundonnell-Wind-Farm</w:t>
        </w:r>
      </w:hyperlink>
    </w:p>
    <w:p w14:paraId="38EFB64D" w14:textId="1505A2B1" w:rsidR="00937FC6" w:rsidRPr="00937FC6" w:rsidRDefault="00937FC6" w:rsidP="00937FC6">
      <w:pPr>
        <w:pStyle w:val="Heading4"/>
      </w:pPr>
      <w:r>
        <w:t xml:space="preserve">Case study: </w:t>
      </w:r>
      <w:r w:rsidRPr="00937FC6">
        <w:t>Bulgana Green Power Hub</w:t>
      </w:r>
    </w:p>
    <w:p w14:paraId="5F318110" w14:textId="77777777" w:rsidR="00937FC6" w:rsidRPr="00937FC6" w:rsidRDefault="00937FC6" w:rsidP="00937FC6">
      <w:pPr>
        <w:pStyle w:val="BodyText"/>
      </w:pPr>
      <w:r w:rsidRPr="00937FC6">
        <w:t>In December 2017, the Victorian Government signed a 15-year support agreement with Neoen Australia to deliver the Bulgana Green Power Hub. The hub is in the Wimmera region of central-western Victoria, about 200km north-west of Melbourne and 11km north-east of Stawell. It consists of a 56 turbine, 194 MW wind farm and a 20 MW/34 MWh Tesla lithium-ion battery – supplying around 750,000MWh of renewable electricity each year.</w:t>
      </w:r>
    </w:p>
    <w:p w14:paraId="0CECFE61" w14:textId="1807F9E9" w:rsidR="00DA0671" w:rsidRDefault="00937FC6" w:rsidP="00937FC6">
      <w:pPr>
        <w:pStyle w:val="BodyText"/>
      </w:pPr>
      <w:r w:rsidRPr="00937FC6">
        <w:rPr>
          <w:lang w:val="en-AU"/>
        </w:rPr>
        <w:t xml:space="preserve">For more information, visit: </w:t>
      </w:r>
      <w:hyperlink r:id="rId41" w:tooltip="Hyperlink to Bulgana Green Power Hub website" w:history="1">
        <w:r w:rsidRPr="00F15AAB">
          <w:rPr>
            <w:rStyle w:val="Hyperlink"/>
            <w:lang w:val="en-AU"/>
          </w:rPr>
          <w:t>bulganagreenpowerhub.com.au</w:t>
        </w:r>
      </w:hyperlink>
      <w:r w:rsidR="00DA0671">
        <w:br w:type="page"/>
      </w:r>
    </w:p>
    <w:p w14:paraId="7135873A" w14:textId="77777777" w:rsidR="00DA0671" w:rsidRDefault="00DA0671" w:rsidP="00DA0671">
      <w:pPr>
        <w:pStyle w:val="Heading1"/>
      </w:pPr>
      <w:bookmarkStart w:id="26" w:name="_Toc179905038"/>
      <w:r w:rsidRPr="00DA0671">
        <w:lastRenderedPageBreak/>
        <w:t>A world class supply chain to support a thriving wind industry</w:t>
      </w:r>
      <w:bookmarkEnd w:id="26"/>
    </w:p>
    <w:p w14:paraId="512F446F" w14:textId="77777777" w:rsidR="001D0938" w:rsidRPr="001D0938" w:rsidRDefault="001D0938" w:rsidP="001D0938">
      <w:pPr>
        <w:pStyle w:val="SectionIntroParagraph"/>
      </w:pPr>
      <w:r w:rsidRPr="001D0938">
        <w:t>Victoria’s wind farm manufacturing and supply chain capabilities have been growing progressively since the early 2000s, meaning that local businesses are well-equipped to contribute to project development across the entire supply chain.</w:t>
      </w:r>
    </w:p>
    <w:p w14:paraId="1D612FCB" w14:textId="77777777" w:rsidR="001D0938" w:rsidRDefault="001D0938" w:rsidP="001D0938">
      <w:pPr>
        <w:pStyle w:val="BodyText"/>
      </w:pPr>
      <w:r w:rsidRPr="001D0938">
        <w:t>Victoria is also home to a wide range of specialist manufacturing, research and development facilities keeping the state at the cutting edge of Australian manufacturing innovation.</w:t>
      </w:r>
    </w:p>
    <w:p w14:paraId="77A4D3B0" w14:textId="4E7C36B5" w:rsidR="001D0938" w:rsidRPr="001D0938" w:rsidRDefault="001D0938" w:rsidP="001D0938">
      <w:pPr>
        <w:pStyle w:val="Heading4"/>
      </w:pPr>
      <w:r w:rsidRPr="001D0938">
        <w:t>Manufacturing Opportunity</w:t>
      </w:r>
    </w:p>
    <w:p w14:paraId="2826BAF8" w14:textId="57E46CAB" w:rsidR="001D0938" w:rsidRPr="001D0938" w:rsidRDefault="001D0938" w:rsidP="001D0938">
      <w:pPr>
        <w:pStyle w:val="BodyText"/>
      </w:pPr>
      <w:r w:rsidRPr="001D0938">
        <w:t>Victoria is estimated to need up to an additional 900 onshore wind turbines by 2035.</w:t>
      </w:r>
      <w:r>
        <w:t xml:space="preserve"> (Note: </w:t>
      </w:r>
      <w:r w:rsidRPr="001D0938">
        <w:br/>
        <w:t>Indicative estimates are based on internal forecasts and modelling conducted by Accenture (2023) for the Department of Energy, Environment and Climate Action and are subject to change.</w:t>
      </w:r>
      <w:r>
        <w:t>)</w:t>
      </w:r>
    </w:p>
    <w:p w14:paraId="658428F9" w14:textId="70DF7B2E" w:rsidR="00D10077" w:rsidRDefault="001D0938" w:rsidP="001D0938">
      <w:pPr>
        <w:pStyle w:val="BodyText"/>
        <w:rPr>
          <w:lang w:val="en-AU"/>
        </w:rPr>
      </w:pPr>
      <w:r w:rsidRPr="001D0938">
        <w:rPr>
          <w:lang w:val="en-AU"/>
        </w:rPr>
        <w:t>Initial Victorian demand for turbines creates a foundation for providing original equipment manufacturers (OEMs) with long-term pipeline certainty.</w:t>
      </w:r>
    </w:p>
    <w:p w14:paraId="29D6A60A" w14:textId="6ABA5311" w:rsidR="001D0938" w:rsidRPr="001D0938" w:rsidRDefault="001D0938" w:rsidP="001D0938">
      <w:pPr>
        <w:pStyle w:val="Heading4"/>
      </w:pPr>
      <w:r>
        <w:t xml:space="preserve">Case study: </w:t>
      </w:r>
      <w:r w:rsidRPr="001D0938">
        <w:t xml:space="preserve">ACCIONA Energía </w:t>
      </w:r>
    </w:p>
    <w:p w14:paraId="2AACA2C1" w14:textId="77777777" w:rsidR="001D0938" w:rsidRPr="001D0938" w:rsidRDefault="001D0938" w:rsidP="001D0938">
      <w:pPr>
        <w:pStyle w:val="BodyText"/>
      </w:pPr>
      <w:r w:rsidRPr="001D0938">
        <w:t>Since its establishment in Australia in 2002, ACCIONA Energía has built 3 wind farms across the state, publicly announced the development of an additional two wind farm projects and has multiple other projects under development.</w:t>
      </w:r>
    </w:p>
    <w:p w14:paraId="3BEC86C7" w14:textId="77777777" w:rsidR="001D0938" w:rsidRPr="001D0938" w:rsidRDefault="001D0938" w:rsidP="001D0938">
      <w:pPr>
        <w:pStyle w:val="BodyText"/>
      </w:pPr>
      <w:r w:rsidRPr="001D0938">
        <w:lastRenderedPageBreak/>
        <w:t>ACCIONA Energía has a unique model to build, own and operate all of its projects across their lifetimes. As a long-term neighbour within the community, the company is focused on giving back and ensuring the benefits of its projects generate significant and positive local impact.</w:t>
      </w:r>
    </w:p>
    <w:p w14:paraId="73564C30" w14:textId="4C95BB97" w:rsidR="001D0938" w:rsidRDefault="001D0938" w:rsidP="001D0938">
      <w:pPr>
        <w:pStyle w:val="BodyText"/>
        <w:rPr>
          <w:b/>
          <w:bCs/>
        </w:rPr>
      </w:pPr>
      <w:r w:rsidRPr="001D0938">
        <w:rPr>
          <w:i/>
          <w:iCs/>
        </w:rPr>
        <w:t>“Victoria’s plentiful renewable resources, highly skilled and trained workforce and accessible port and transportation network have made the state a centre for renewable energy.”</w:t>
      </w:r>
      <w:r>
        <w:t xml:space="preserve"> – </w:t>
      </w:r>
      <w:r w:rsidRPr="001D0938">
        <w:rPr>
          <w:b/>
          <w:bCs/>
        </w:rPr>
        <w:t>Brett Wickham, Managing Director, ACCIONA Energía Australia</w:t>
      </w:r>
    </w:p>
    <w:p w14:paraId="62144930" w14:textId="77777777" w:rsidR="001D0938" w:rsidRPr="001D0938" w:rsidRDefault="001D0938" w:rsidP="001D0938">
      <w:pPr>
        <w:pStyle w:val="Heading4"/>
      </w:pPr>
      <w:r w:rsidRPr="001D0938">
        <w:t>Full or partial supply chain capability</w:t>
      </w:r>
    </w:p>
    <w:p w14:paraId="2D64462A" w14:textId="77777777" w:rsidR="001D0938" w:rsidRPr="001D0938" w:rsidRDefault="001D0938" w:rsidP="001D0938">
      <w:pPr>
        <w:pStyle w:val="Heading5"/>
        <w:spacing w:before="240" w:after="120"/>
      </w:pPr>
      <w:r w:rsidRPr="001D0938">
        <w:t>Tower components</w:t>
      </w:r>
    </w:p>
    <w:p w14:paraId="1B849804" w14:textId="77777777" w:rsidR="001D0938" w:rsidRDefault="001D0938" w:rsidP="001D0938">
      <w:pPr>
        <w:pStyle w:val="ListBullet"/>
        <w:sectPr w:rsidR="001D0938" w:rsidSect="008A2489">
          <w:footerReference w:type="default" r:id="rId42"/>
          <w:pgSz w:w="11906" w:h="16838"/>
          <w:pgMar w:top="1134" w:right="1134" w:bottom="1134" w:left="1134" w:header="720" w:footer="720" w:gutter="0"/>
          <w:cols w:space="720"/>
          <w:noEndnote/>
          <w:docGrid w:linePitch="326"/>
        </w:sectPr>
      </w:pPr>
    </w:p>
    <w:p w14:paraId="7AE479FE" w14:textId="77777777" w:rsidR="001D0938" w:rsidRPr="001D0938" w:rsidRDefault="001D0938" w:rsidP="000B5F38">
      <w:pPr>
        <w:pStyle w:val="ListBullet"/>
        <w:spacing w:line="360" w:lineRule="auto"/>
      </w:pPr>
      <w:r w:rsidRPr="001D0938">
        <w:t>Nacelle housing</w:t>
      </w:r>
    </w:p>
    <w:p w14:paraId="2A290314" w14:textId="77777777" w:rsidR="001D0938" w:rsidRPr="001D0938" w:rsidRDefault="001D0938" w:rsidP="000B5F38">
      <w:pPr>
        <w:pStyle w:val="ListBullet"/>
        <w:spacing w:line="360" w:lineRule="auto"/>
      </w:pPr>
      <w:r w:rsidRPr="001D0938">
        <w:t>Generator</w:t>
      </w:r>
    </w:p>
    <w:p w14:paraId="0267EF36" w14:textId="77777777" w:rsidR="001D0938" w:rsidRPr="001D0938" w:rsidRDefault="001D0938" w:rsidP="000B5F38">
      <w:pPr>
        <w:pStyle w:val="ListBullet"/>
        <w:spacing w:line="360" w:lineRule="auto"/>
      </w:pPr>
      <w:r w:rsidRPr="001D0938">
        <w:t>Gearbox metal</w:t>
      </w:r>
    </w:p>
    <w:p w14:paraId="68508F08" w14:textId="77777777" w:rsidR="001D0938" w:rsidRPr="001D0938" w:rsidRDefault="001D0938" w:rsidP="000B5F38">
      <w:pPr>
        <w:pStyle w:val="ListBullet"/>
        <w:spacing w:line="360" w:lineRule="auto"/>
      </w:pPr>
      <w:r w:rsidRPr="001D0938">
        <w:t>Drive train</w:t>
      </w:r>
    </w:p>
    <w:p w14:paraId="758C0A62" w14:textId="77777777" w:rsidR="001D0938" w:rsidRPr="001D0938" w:rsidRDefault="001D0938" w:rsidP="000B5F38">
      <w:pPr>
        <w:pStyle w:val="ListBullet"/>
        <w:spacing w:line="360" w:lineRule="auto"/>
      </w:pPr>
      <w:r w:rsidRPr="001D0938">
        <w:t>Belts</w:t>
      </w:r>
    </w:p>
    <w:p w14:paraId="187758B3" w14:textId="77777777" w:rsidR="001D0938" w:rsidRPr="001D0938" w:rsidRDefault="001D0938" w:rsidP="000B5F38">
      <w:pPr>
        <w:pStyle w:val="ListBullet"/>
        <w:spacing w:line="360" w:lineRule="auto"/>
      </w:pPr>
      <w:r w:rsidRPr="001D0938">
        <w:t>Yaw motor</w:t>
      </w:r>
    </w:p>
    <w:p w14:paraId="359291B0" w14:textId="77777777" w:rsidR="001D0938" w:rsidRPr="001D0938" w:rsidRDefault="001D0938" w:rsidP="000B5F38">
      <w:pPr>
        <w:pStyle w:val="ListBullet"/>
        <w:spacing w:line="360" w:lineRule="auto"/>
      </w:pPr>
      <w:r w:rsidRPr="001D0938">
        <w:t>Yaw ring and gears</w:t>
      </w:r>
    </w:p>
    <w:p w14:paraId="52EBCB6D" w14:textId="77777777" w:rsidR="001D0938" w:rsidRPr="001D0938" w:rsidRDefault="001D0938" w:rsidP="000B5F38">
      <w:pPr>
        <w:pStyle w:val="ListBullet"/>
        <w:spacing w:line="360" w:lineRule="auto"/>
      </w:pPr>
      <w:r w:rsidRPr="001D0938">
        <w:t>Blade adaptor</w:t>
      </w:r>
    </w:p>
    <w:p w14:paraId="3AE8012B" w14:textId="77777777" w:rsidR="001D0938" w:rsidRPr="001D0938" w:rsidRDefault="001D0938" w:rsidP="000B5F38">
      <w:pPr>
        <w:pStyle w:val="ListBullet"/>
        <w:spacing w:line="360" w:lineRule="auto"/>
      </w:pPr>
      <w:r w:rsidRPr="001D0938">
        <w:t>Rotor hub</w:t>
      </w:r>
    </w:p>
    <w:p w14:paraId="7181B006" w14:textId="77777777" w:rsidR="001D0938" w:rsidRPr="001D0938" w:rsidRDefault="001D0938" w:rsidP="000B5F38">
      <w:pPr>
        <w:pStyle w:val="ListBullet"/>
        <w:spacing w:line="360" w:lineRule="auto"/>
      </w:pPr>
      <w:r w:rsidRPr="001D0938">
        <w:t>Spinner</w:t>
      </w:r>
    </w:p>
    <w:p w14:paraId="174ADB7B" w14:textId="77777777" w:rsidR="001D0938" w:rsidRPr="001D0938" w:rsidRDefault="001D0938" w:rsidP="000B5F38">
      <w:pPr>
        <w:pStyle w:val="ListBullet"/>
        <w:spacing w:line="360" w:lineRule="auto"/>
      </w:pPr>
      <w:r w:rsidRPr="001D0938">
        <w:t>Clutch</w:t>
      </w:r>
    </w:p>
    <w:p w14:paraId="2DD2B68E" w14:textId="77777777" w:rsidR="001D0938" w:rsidRPr="001D0938" w:rsidRDefault="001D0938" w:rsidP="000B5F38">
      <w:pPr>
        <w:pStyle w:val="ListBullet"/>
        <w:spacing w:line="360" w:lineRule="auto"/>
      </w:pPr>
      <w:r w:rsidRPr="001D0938">
        <w:t>Hydraulic pitch control</w:t>
      </w:r>
    </w:p>
    <w:p w14:paraId="07B23A42" w14:textId="77777777" w:rsidR="001D0938" w:rsidRPr="001D0938" w:rsidRDefault="001D0938" w:rsidP="000B5F38">
      <w:pPr>
        <w:pStyle w:val="ListBullet"/>
        <w:spacing w:line="360" w:lineRule="auto"/>
      </w:pPr>
      <w:r w:rsidRPr="001D0938">
        <w:t>Brake assembly</w:t>
      </w:r>
    </w:p>
    <w:p w14:paraId="5B71B331" w14:textId="77777777" w:rsidR="001D0938" w:rsidRPr="001D0938" w:rsidRDefault="001D0938" w:rsidP="000B5F38">
      <w:pPr>
        <w:pStyle w:val="ListBullet"/>
        <w:spacing w:line="360" w:lineRule="auto"/>
      </w:pPr>
      <w:r w:rsidRPr="001D0938">
        <w:t>Wind tower sections</w:t>
      </w:r>
    </w:p>
    <w:p w14:paraId="33F44800" w14:textId="77777777" w:rsidR="001D0938" w:rsidRPr="001D0938" w:rsidRDefault="001D0938" w:rsidP="000B5F38">
      <w:pPr>
        <w:pStyle w:val="ListBullet"/>
        <w:spacing w:line="360" w:lineRule="auto"/>
      </w:pPr>
      <w:r w:rsidRPr="001D0938">
        <w:t>Powder coating</w:t>
      </w:r>
    </w:p>
    <w:p w14:paraId="3D7B02BD" w14:textId="77777777" w:rsidR="001D0938" w:rsidRPr="001D0938" w:rsidRDefault="001D0938" w:rsidP="000B5F38">
      <w:pPr>
        <w:pStyle w:val="ListBullet"/>
        <w:spacing w:line="360" w:lineRule="auto"/>
      </w:pPr>
      <w:r w:rsidRPr="001D0938">
        <w:t>Wind tower flanges</w:t>
      </w:r>
    </w:p>
    <w:p w14:paraId="3324E53A" w14:textId="77777777" w:rsidR="001D0938" w:rsidRPr="001D0938" w:rsidRDefault="001D0938" w:rsidP="000B5F38">
      <w:pPr>
        <w:pStyle w:val="ListBullet"/>
        <w:spacing w:line="360" w:lineRule="auto"/>
      </w:pPr>
      <w:r w:rsidRPr="001D0938">
        <w:t>Wind tower bolts</w:t>
      </w:r>
    </w:p>
    <w:p w14:paraId="297AB05F" w14:textId="77777777" w:rsidR="001D0938" w:rsidRPr="001D0938" w:rsidRDefault="001D0938" w:rsidP="000B5F38">
      <w:pPr>
        <w:pStyle w:val="ListBullet"/>
        <w:spacing w:line="360" w:lineRule="auto"/>
      </w:pPr>
      <w:r w:rsidRPr="001D0938">
        <w:t>Structural steel</w:t>
      </w:r>
    </w:p>
    <w:p w14:paraId="62CCFF3B" w14:textId="77777777" w:rsidR="001D0938" w:rsidRPr="001D0938" w:rsidRDefault="001D0938" w:rsidP="000B5F38">
      <w:pPr>
        <w:pStyle w:val="ListBullet"/>
        <w:spacing w:line="360" w:lineRule="auto"/>
      </w:pPr>
      <w:r w:rsidRPr="001D0938">
        <w:t>Tie-down bolts</w:t>
      </w:r>
    </w:p>
    <w:p w14:paraId="6D6868A7" w14:textId="77777777" w:rsidR="001D0938" w:rsidRPr="001D0938" w:rsidRDefault="001D0938" w:rsidP="000B5F38">
      <w:pPr>
        <w:pStyle w:val="ListBullet"/>
        <w:spacing w:line="360" w:lineRule="auto"/>
      </w:pPr>
      <w:r w:rsidRPr="001D0938">
        <w:t>Footings</w:t>
      </w:r>
    </w:p>
    <w:p w14:paraId="5983AFEC" w14:textId="77777777" w:rsidR="001D0938" w:rsidRPr="001D0938" w:rsidRDefault="001D0938" w:rsidP="000B5F38">
      <w:pPr>
        <w:pStyle w:val="ListBullet"/>
        <w:spacing w:line="360" w:lineRule="auto"/>
      </w:pPr>
      <w:r w:rsidRPr="001D0938">
        <w:t>Steel reinforcement/ anchor cage</w:t>
      </w:r>
    </w:p>
    <w:p w14:paraId="2C00E819" w14:textId="77777777" w:rsidR="001D0938" w:rsidRPr="001D0938" w:rsidRDefault="001D0938" w:rsidP="000B5F38">
      <w:pPr>
        <w:pStyle w:val="ListBullet"/>
        <w:spacing w:line="360" w:lineRule="auto"/>
      </w:pPr>
      <w:r w:rsidRPr="001D0938">
        <w:t>Anemometers</w:t>
      </w:r>
    </w:p>
    <w:p w14:paraId="39D4C81F" w14:textId="77777777" w:rsidR="001D0938" w:rsidRPr="001D0938" w:rsidRDefault="001D0938" w:rsidP="000B5F38">
      <w:pPr>
        <w:pStyle w:val="ListBullet"/>
        <w:spacing w:line="360" w:lineRule="auto"/>
      </w:pPr>
      <w:r w:rsidRPr="001D0938">
        <w:t>Safety railings</w:t>
      </w:r>
    </w:p>
    <w:p w14:paraId="330E1A37" w14:textId="77777777" w:rsidR="001D0938" w:rsidRPr="001D0938" w:rsidRDefault="001D0938" w:rsidP="000B5F38">
      <w:pPr>
        <w:pStyle w:val="ListBullet"/>
        <w:spacing w:line="360" w:lineRule="auto"/>
      </w:pPr>
      <w:r w:rsidRPr="001D0938">
        <w:t>Meteorological masts</w:t>
      </w:r>
    </w:p>
    <w:p w14:paraId="076AC39B" w14:textId="3F10785D" w:rsidR="001D0938" w:rsidRPr="001D0938" w:rsidRDefault="001D0938" w:rsidP="000B5F38">
      <w:pPr>
        <w:pStyle w:val="ListBullet"/>
        <w:spacing w:line="360" w:lineRule="auto"/>
      </w:pPr>
      <w:r w:rsidRPr="001D0938">
        <w:rPr>
          <w:lang w:val="en-AU"/>
        </w:rPr>
        <w:t>General hydraulics and oils.</w:t>
      </w:r>
    </w:p>
    <w:p w14:paraId="48C89018" w14:textId="77777777" w:rsidR="001D0938" w:rsidRDefault="001D0938" w:rsidP="001D0938">
      <w:pPr>
        <w:pStyle w:val="Heading5"/>
        <w:sectPr w:rsidR="001D0938" w:rsidSect="001D0938">
          <w:type w:val="continuous"/>
          <w:pgSz w:w="11906" w:h="16838"/>
          <w:pgMar w:top="1134" w:right="1134" w:bottom="1134" w:left="1134" w:header="720" w:footer="720" w:gutter="0"/>
          <w:cols w:num="3" w:space="720"/>
          <w:noEndnote/>
          <w:docGrid w:linePitch="326"/>
        </w:sectPr>
      </w:pPr>
    </w:p>
    <w:p w14:paraId="192753F4" w14:textId="77777777" w:rsidR="001D0938" w:rsidRPr="001D0938" w:rsidRDefault="001D0938" w:rsidP="001D0938">
      <w:pPr>
        <w:pStyle w:val="Heading5"/>
        <w:spacing w:before="240" w:after="120"/>
      </w:pPr>
      <w:r w:rsidRPr="001D0938">
        <w:t>Electrical balance of plant</w:t>
      </w:r>
    </w:p>
    <w:p w14:paraId="2CEEE7DC" w14:textId="77777777" w:rsidR="001D0938" w:rsidRDefault="001D0938" w:rsidP="001D0938">
      <w:pPr>
        <w:pStyle w:val="Heading5"/>
        <w:spacing w:before="240" w:after="120"/>
        <w:sectPr w:rsidR="001D0938" w:rsidSect="001D0938">
          <w:type w:val="continuous"/>
          <w:pgSz w:w="11906" w:h="16838"/>
          <w:pgMar w:top="1134" w:right="1134" w:bottom="1134" w:left="1134" w:header="720" w:footer="720" w:gutter="0"/>
          <w:cols w:space="720"/>
          <w:noEndnote/>
          <w:docGrid w:linePitch="326"/>
        </w:sectPr>
      </w:pPr>
    </w:p>
    <w:p w14:paraId="14CC82B9" w14:textId="77777777" w:rsidR="001D0938" w:rsidRPr="001D0938" w:rsidRDefault="001D0938" w:rsidP="000B5F38">
      <w:pPr>
        <w:pStyle w:val="ListBullet"/>
        <w:spacing w:line="360" w:lineRule="auto"/>
      </w:pPr>
      <w:r w:rsidRPr="001D0938">
        <w:t>Tower lighting</w:t>
      </w:r>
    </w:p>
    <w:p w14:paraId="04BFA6D6" w14:textId="77777777" w:rsidR="001D0938" w:rsidRPr="001D0938" w:rsidRDefault="001D0938" w:rsidP="000B5F38">
      <w:pPr>
        <w:pStyle w:val="ListBullet"/>
        <w:spacing w:line="360" w:lineRule="auto"/>
      </w:pPr>
      <w:r w:rsidRPr="001D0938">
        <w:t>Control cabinets</w:t>
      </w:r>
    </w:p>
    <w:p w14:paraId="477018FD" w14:textId="77777777" w:rsidR="001D0938" w:rsidRPr="001D0938" w:rsidRDefault="001D0938" w:rsidP="000B5F38">
      <w:pPr>
        <w:pStyle w:val="ListBullet"/>
        <w:spacing w:line="360" w:lineRule="auto"/>
      </w:pPr>
      <w:r w:rsidRPr="001D0938">
        <w:t>Metal cabinets</w:t>
      </w:r>
    </w:p>
    <w:p w14:paraId="327B730F" w14:textId="77777777" w:rsidR="001D0938" w:rsidRPr="001D0938" w:rsidRDefault="001D0938" w:rsidP="000B5F38">
      <w:pPr>
        <w:pStyle w:val="ListBullet"/>
        <w:spacing w:line="360" w:lineRule="auto"/>
      </w:pPr>
      <w:r w:rsidRPr="001D0938">
        <w:t>Copper busbar and chassis</w:t>
      </w:r>
    </w:p>
    <w:p w14:paraId="44F9D56C" w14:textId="77777777" w:rsidR="001D0938" w:rsidRPr="001D0938" w:rsidRDefault="001D0938" w:rsidP="000B5F38">
      <w:pPr>
        <w:pStyle w:val="ListBullet"/>
        <w:spacing w:line="360" w:lineRule="auto"/>
      </w:pPr>
      <w:r w:rsidRPr="001D0938">
        <w:t>Conduit</w:t>
      </w:r>
    </w:p>
    <w:p w14:paraId="3F7D7B4F" w14:textId="77777777" w:rsidR="001D0938" w:rsidRPr="001D0938" w:rsidRDefault="001D0938" w:rsidP="000B5F38">
      <w:pPr>
        <w:pStyle w:val="ListBullet"/>
        <w:spacing w:line="360" w:lineRule="auto"/>
      </w:pPr>
      <w:r w:rsidRPr="001D0938">
        <w:t>LV and HV cable</w:t>
      </w:r>
    </w:p>
    <w:p w14:paraId="4BF04ED4" w14:textId="77777777" w:rsidR="001D0938" w:rsidRPr="001D0938" w:rsidRDefault="001D0938" w:rsidP="000B5F38">
      <w:pPr>
        <w:pStyle w:val="ListBullet"/>
        <w:spacing w:line="360" w:lineRule="auto"/>
      </w:pPr>
      <w:r w:rsidRPr="001D0938">
        <w:t>Fibre optic cable</w:t>
      </w:r>
    </w:p>
    <w:p w14:paraId="5D0CFFA5" w14:textId="77777777" w:rsidR="001D0938" w:rsidRPr="001D0938" w:rsidRDefault="001D0938" w:rsidP="000B5F38">
      <w:pPr>
        <w:pStyle w:val="ListBullet"/>
        <w:spacing w:line="360" w:lineRule="auto"/>
      </w:pPr>
      <w:r w:rsidRPr="001D0938">
        <w:t>Switchboards</w:t>
      </w:r>
    </w:p>
    <w:p w14:paraId="56B8349B" w14:textId="77777777" w:rsidR="001D0938" w:rsidRPr="001D0938" w:rsidRDefault="001D0938" w:rsidP="000B5F38">
      <w:pPr>
        <w:pStyle w:val="ListBullet"/>
        <w:spacing w:line="360" w:lineRule="auto"/>
      </w:pPr>
      <w:r w:rsidRPr="001D0938">
        <w:t>Transformers</w:t>
      </w:r>
    </w:p>
    <w:p w14:paraId="73C70C13" w14:textId="77777777" w:rsidR="001D0938" w:rsidRPr="001D0938" w:rsidRDefault="001D0938" w:rsidP="000B5F38">
      <w:pPr>
        <w:pStyle w:val="ListBullet"/>
        <w:spacing w:line="360" w:lineRule="auto"/>
      </w:pPr>
      <w:r w:rsidRPr="001D0938">
        <w:t>Substation</w:t>
      </w:r>
    </w:p>
    <w:p w14:paraId="36273914" w14:textId="77777777" w:rsidR="001D0938" w:rsidRPr="001D0938" w:rsidRDefault="001D0938" w:rsidP="000B5F38">
      <w:pPr>
        <w:pStyle w:val="ListBullet"/>
        <w:spacing w:line="360" w:lineRule="auto"/>
      </w:pPr>
      <w:r w:rsidRPr="001D0938">
        <w:t>UPS</w:t>
      </w:r>
    </w:p>
    <w:p w14:paraId="19C577A1" w14:textId="77777777" w:rsidR="001D0938" w:rsidRPr="001D0938" w:rsidRDefault="001D0938" w:rsidP="000B5F38">
      <w:pPr>
        <w:pStyle w:val="ListBullet"/>
        <w:spacing w:line="360" w:lineRule="auto"/>
      </w:pPr>
      <w:r w:rsidRPr="001D0938">
        <w:t>Transmission cables</w:t>
      </w:r>
    </w:p>
    <w:p w14:paraId="478B1A47" w14:textId="77777777" w:rsidR="001D0938" w:rsidRPr="001D0938" w:rsidRDefault="001D0938" w:rsidP="000B5F38">
      <w:pPr>
        <w:pStyle w:val="ListBullet"/>
        <w:spacing w:line="360" w:lineRule="auto"/>
      </w:pPr>
      <w:r w:rsidRPr="001D0938">
        <w:t>Transmission towers</w:t>
      </w:r>
    </w:p>
    <w:p w14:paraId="3E7BF7E0" w14:textId="77777777" w:rsidR="001D0938" w:rsidRPr="001D0938" w:rsidRDefault="001D0938" w:rsidP="000B5F38">
      <w:pPr>
        <w:pStyle w:val="ListBullet"/>
        <w:spacing w:line="360" w:lineRule="auto"/>
      </w:pPr>
      <w:r w:rsidRPr="001D0938">
        <w:t>Insulators</w:t>
      </w:r>
    </w:p>
    <w:p w14:paraId="34E11D4C" w14:textId="77777777" w:rsidR="001D0938" w:rsidRPr="001D0938" w:rsidRDefault="001D0938" w:rsidP="000B5F38">
      <w:pPr>
        <w:pStyle w:val="ListBullet"/>
        <w:spacing w:line="360" w:lineRule="auto"/>
      </w:pPr>
      <w:r w:rsidRPr="001D0938">
        <w:lastRenderedPageBreak/>
        <w:t>MV and MV switchgear</w:t>
      </w:r>
    </w:p>
    <w:p w14:paraId="3B2DCD0B" w14:textId="77777777" w:rsidR="001D0938" w:rsidRPr="001D0938" w:rsidRDefault="001D0938" w:rsidP="000B5F38">
      <w:pPr>
        <w:pStyle w:val="ListBullet"/>
        <w:spacing w:line="360" w:lineRule="auto"/>
      </w:pPr>
      <w:r w:rsidRPr="001D0938">
        <w:t>Ring main unit</w:t>
      </w:r>
    </w:p>
    <w:p w14:paraId="671FF011" w14:textId="77777777" w:rsidR="001D0938" w:rsidRPr="001D0938" w:rsidRDefault="001D0938" w:rsidP="000B5F38">
      <w:pPr>
        <w:pStyle w:val="ListBullet"/>
        <w:spacing w:line="360" w:lineRule="auto"/>
      </w:pPr>
      <w:r w:rsidRPr="001D0938">
        <w:t>Capacitor banks</w:t>
      </w:r>
    </w:p>
    <w:p w14:paraId="4F49AA8B" w14:textId="77777777" w:rsidR="001D0938" w:rsidRPr="001D0938" w:rsidRDefault="001D0938" w:rsidP="000B5F38">
      <w:pPr>
        <w:pStyle w:val="ListBullet"/>
        <w:spacing w:line="360" w:lineRule="auto"/>
      </w:pPr>
      <w:r w:rsidRPr="001D0938">
        <w:t>Synchronous condensers</w:t>
      </w:r>
    </w:p>
    <w:p w14:paraId="582085B0" w14:textId="77777777" w:rsidR="001D0938" w:rsidRPr="001D0938" w:rsidRDefault="001D0938" w:rsidP="000B5F38">
      <w:pPr>
        <w:pStyle w:val="ListBullet"/>
        <w:spacing w:line="360" w:lineRule="auto"/>
      </w:pPr>
      <w:r w:rsidRPr="001D0938">
        <w:t>Isolation units</w:t>
      </w:r>
    </w:p>
    <w:p w14:paraId="72B5A00E" w14:textId="77777777" w:rsidR="001D0938" w:rsidRPr="001D0938" w:rsidRDefault="001D0938" w:rsidP="000B5F38">
      <w:pPr>
        <w:pStyle w:val="ListBullet"/>
        <w:spacing w:line="360" w:lineRule="auto"/>
      </w:pPr>
      <w:r w:rsidRPr="001D0938">
        <w:t>Tower earthing systems</w:t>
      </w:r>
    </w:p>
    <w:p w14:paraId="28EC3E52" w14:textId="3CCA213D" w:rsidR="001D0938" w:rsidRPr="001D0938" w:rsidRDefault="001D0938" w:rsidP="000B5F38">
      <w:pPr>
        <w:pStyle w:val="ListBullet"/>
        <w:spacing w:line="360" w:lineRule="auto"/>
      </w:pPr>
      <w:r w:rsidRPr="001D0938">
        <w:rPr>
          <w:lang w:val="en-AU"/>
        </w:rPr>
        <w:t>SCADA system.</w:t>
      </w:r>
    </w:p>
    <w:p w14:paraId="6441BAE3" w14:textId="77777777" w:rsidR="001D0938" w:rsidRDefault="001D0938" w:rsidP="001D0938">
      <w:pPr>
        <w:pStyle w:val="Heading4"/>
        <w:sectPr w:rsidR="001D0938" w:rsidSect="001D0938">
          <w:type w:val="continuous"/>
          <w:pgSz w:w="11906" w:h="16838"/>
          <w:pgMar w:top="1134" w:right="1134" w:bottom="1134" w:left="1134" w:header="720" w:footer="720" w:gutter="0"/>
          <w:cols w:num="3" w:space="720"/>
          <w:noEndnote/>
          <w:docGrid w:linePitch="326"/>
        </w:sectPr>
      </w:pPr>
    </w:p>
    <w:p w14:paraId="7042B1FB" w14:textId="77777777" w:rsidR="001D0938" w:rsidRDefault="001D0938" w:rsidP="000B5F38">
      <w:pPr>
        <w:pStyle w:val="Heading4"/>
        <w:spacing w:before="480"/>
      </w:pPr>
      <w:r>
        <w:t>Full supply chain capability</w:t>
      </w:r>
    </w:p>
    <w:p w14:paraId="2BDA9604" w14:textId="77777777" w:rsidR="001D0938" w:rsidRPr="001D0938" w:rsidRDefault="001D0938" w:rsidP="001D0938">
      <w:pPr>
        <w:pStyle w:val="Heading5"/>
        <w:spacing w:before="240" w:after="120"/>
      </w:pPr>
      <w:r w:rsidRPr="001D0938">
        <w:t>Civil/site works</w:t>
      </w:r>
    </w:p>
    <w:p w14:paraId="48AB79BF" w14:textId="77777777" w:rsidR="001D0938" w:rsidRDefault="001D0938" w:rsidP="001D0938">
      <w:pPr>
        <w:pStyle w:val="ListBullet"/>
        <w:sectPr w:rsidR="001D0938" w:rsidSect="001D0938">
          <w:type w:val="continuous"/>
          <w:pgSz w:w="11906" w:h="16838"/>
          <w:pgMar w:top="1134" w:right="1134" w:bottom="1134" w:left="1134" w:header="720" w:footer="720" w:gutter="0"/>
          <w:cols w:space="720"/>
          <w:noEndnote/>
          <w:docGrid w:linePitch="326"/>
        </w:sectPr>
      </w:pPr>
    </w:p>
    <w:p w14:paraId="7BB9EEE4" w14:textId="77777777" w:rsidR="001D0938" w:rsidRPr="001D0938" w:rsidRDefault="001D0938" w:rsidP="000B5F38">
      <w:pPr>
        <w:pStyle w:val="ListBullet"/>
        <w:spacing w:line="360" w:lineRule="auto"/>
      </w:pPr>
      <w:r w:rsidRPr="001D0938">
        <w:t>Building contractor</w:t>
      </w:r>
    </w:p>
    <w:p w14:paraId="270EA00F" w14:textId="77777777" w:rsidR="001D0938" w:rsidRPr="001D0938" w:rsidRDefault="001D0938" w:rsidP="000B5F38">
      <w:pPr>
        <w:pStyle w:val="ListBullet"/>
        <w:spacing w:line="360" w:lineRule="auto"/>
      </w:pPr>
      <w:r w:rsidRPr="001D0938">
        <w:t>Civil construction</w:t>
      </w:r>
    </w:p>
    <w:p w14:paraId="771F2342" w14:textId="77777777" w:rsidR="001D0938" w:rsidRPr="001D0938" w:rsidRDefault="001D0938" w:rsidP="000B5F38">
      <w:pPr>
        <w:pStyle w:val="ListBullet"/>
        <w:spacing w:line="360" w:lineRule="auto"/>
      </w:pPr>
      <w:r w:rsidRPr="001D0938">
        <w:t>Electrical wholesalers</w:t>
      </w:r>
    </w:p>
    <w:p w14:paraId="00988395" w14:textId="77777777" w:rsidR="001D0938" w:rsidRPr="001D0938" w:rsidRDefault="001D0938" w:rsidP="000B5F38">
      <w:pPr>
        <w:pStyle w:val="ListBullet"/>
        <w:spacing w:line="360" w:lineRule="auto"/>
      </w:pPr>
      <w:r w:rsidRPr="001D0938">
        <w:t>Crane hire</w:t>
      </w:r>
    </w:p>
    <w:p w14:paraId="75FC8E1E" w14:textId="77777777" w:rsidR="001D0938" w:rsidRPr="001D0938" w:rsidRDefault="001D0938" w:rsidP="000B5F38">
      <w:pPr>
        <w:pStyle w:val="ListBullet"/>
        <w:spacing w:line="360" w:lineRule="auto"/>
      </w:pPr>
      <w:r w:rsidRPr="001D0938">
        <w:t>HVAC</w:t>
      </w:r>
    </w:p>
    <w:p w14:paraId="74E50E6E" w14:textId="77777777" w:rsidR="001D0938" w:rsidRPr="001D0938" w:rsidRDefault="001D0938" w:rsidP="000B5F38">
      <w:pPr>
        <w:pStyle w:val="ListBullet"/>
        <w:spacing w:line="360" w:lineRule="auto"/>
      </w:pPr>
      <w:r w:rsidRPr="001D0938">
        <w:t>Commissioning and safety tests</w:t>
      </w:r>
    </w:p>
    <w:p w14:paraId="0A657C6C" w14:textId="12678F2B" w:rsidR="001D0938" w:rsidRDefault="001D0938" w:rsidP="000B5F38">
      <w:pPr>
        <w:pStyle w:val="ListBullet"/>
        <w:spacing w:line="360" w:lineRule="auto"/>
      </w:pPr>
      <w:r w:rsidRPr="001D0938">
        <w:t>PCV tests and energisation.</w:t>
      </w:r>
    </w:p>
    <w:p w14:paraId="756A61B6" w14:textId="77777777" w:rsidR="001D0938" w:rsidRDefault="001D0938" w:rsidP="001D0938">
      <w:pPr>
        <w:pStyle w:val="Heading5"/>
        <w:sectPr w:rsidR="001D0938" w:rsidSect="001D0938">
          <w:type w:val="continuous"/>
          <w:pgSz w:w="11906" w:h="16838"/>
          <w:pgMar w:top="1134" w:right="1134" w:bottom="1134" w:left="1134" w:header="720" w:footer="720" w:gutter="0"/>
          <w:cols w:num="2" w:space="720"/>
          <w:noEndnote/>
          <w:docGrid w:linePitch="326"/>
        </w:sectPr>
      </w:pPr>
    </w:p>
    <w:p w14:paraId="2DAA46E2" w14:textId="3E99CA33" w:rsidR="001D0938" w:rsidRPr="001D0938" w:rsidRDefault="001D0938" w:rsidP="001D0938">
      <w:pPr>
        <w:pStyle w:val="Heading5"/>
        <w:spacing w:before="240" w:after="120"/>
        <w:rPr>
          <w:u w:val="thick"/>
        </w:rPr>
      </w:pPr>
      <w:r w:rsidRPr="001D0938">
        <w:t>Project management services</w:t>
      </w:r>
    </w:p>
    <w:p w14:paraId="0D336E58" w14:textId="77777777" w:rsidR="001D0938" w:rsidRDefault="001D0938" w:rsidP="001D0938">
      <w:pPr>
        <w:pStyle w:val="ListBullet"/>
        <w:spacing w:before="240"/>
        <w:sectPr w:rsidR="001D0938" w:rsidSect="001D0938">
          <w:type w:val="continuous"/>
          <w:pgSz w:w="11906" w:h="16838"/>
          <w:pgMar w:top="1134" w:right="1134" w:bottom="1134" w:left="1134" w:header="720" w:footer="720" w:gutter="0"/>
          <w:cols w:space="720"/>
          <w:noEndnote/>
          <w:docGrid w:linePitch="326"/>
        </w:sectPr>
      </w:pPr>
    </w:p>
    <w:p w14:paraId="786E07AB" w14:textId="77777777" w:rsidR="001D0938" w:rsidRPr="001D0938" w:rsidRDefault="001D0938" w:rsidP="000B5F38">
      <w:pPr>
        <w:pStyle w:val="ListBullet"/>
        <w:spacing w:line="360" w:lineRule="auto"/>
      </w:pPr>
      <w:r w:rsidRPr="001D0938">
        <w:t>Regulatory/planning</w:t>
      </w:r>
    </w:p>
    <w:p w14:paraId="30291479" w14:textId="77777777" w:rsidR="001D0938" w:rsidRPr="001D0938" w:rsidRDefault="001D0938" w:rsidP="000B5F38">
      <w:pPr>
        <w:pStyle w:val="ListBullet"/>
        <w:spacing w:line="360" w:lineRule="auto"/>
      </w:pPr>
      <w:r w:rsidRPr="001D0938">
        <w:t>Electrical contractor</w:t>
      </w:r>
    </w:p>
    <w:p w14:paraId="33032845" w14:textId="77777777" w:rsidR="001D0938" w:rsidRPr="001D0938" w:rsidRDefault="001D0938" w:rsidP="000B5F38">
      <w:pPr>
        <w:pStyle w:val="ListBullet"/>
        <w:spacing w:line="360" w:lineRule="auto"/>
      </w:pPr>
      <w:r w:rsidRPr="001D0938">
        <w:t>Civil contractor</w:t>
      </w:r>
    </w:p>
    <w:p w14:paraId="1B2CAF64" w14:textId="77777777" w:rsidR="001D0938" w:rsidRPr="001D0938" w:rsidRDefault="001D0938" w:rsidP="000B5F38">
      <w:pPr>
        <w:pStyle w:val="ListBullet"/>
        <w:spacing w:line="360" w:lineRule="auto"/>
      </w:pPr>
      <w:r w:rsidRPr="001D0938">
        <w:t>Mechanical installer</w:t>
      </w:r>
    </w:p>
    <w:p w14:paraId="1C515E61" w14:textId="77777777" w:rsidR="001D0938" w:rsidRPr="001D0938" w:rsidRDefault="001D0938" w:rsidP="000B5F38">
      <w:pPr>
        <w:pStyle w:val="ListBullet"/>
        <w:spacing w:line="360" w:lineRule="auto"/>
      </w:pPr>
      <w:r w:rsidRPr="001D0938">
        <w:t>Surveyor</w:t>
      </w:r>
    </w:p>
    <w:p w14:paraId="789E7AEA" w14:textId="77777777" w:rsidR="001D0938" w:rsidRPr="001D0938" w:rsidRDefault="001D0938" w:rsidP="000B5F38">
      <w:pPr>
        <w:pStyle w:val="ListBullet"/>
        <w:spacing w:line="360" w:lineRule="auto"/>
      </w:pPr>
      <w:r w:rsidRPr="001D0938">
        <w:t>Environmental monitoring</w:t>
      </w:r>
    </w:p>
    <w:p w14:paraId="72DE4E61" w14:textId="77777777" w:rsidR="001D0938" w:rsidRPr="001D0938" w:rsidRDefault="001D0938" w:rsidP="000B5F38">
      <w:pPr>
        <w:pStyle w:val="ListBullet"/>
        <w:spacing w:line="360" w:lineRule="auto"/>
      </w:pPr>
      <w:r w:rsidRPr="001D0938">
        <w:t>Geotechnical testing</w:t>
      </w:r>
    </w:p>
    <w:p w14:paraId="5571C451" w14:textId="77777777" w:rsidR="001D0938" w:rsidRPr="001D0938" w:rsidRDefault="001D0938" w:rsidP="000B5F38">
      <w:pPr>
        <w:pStyle w:val="ListBullet"/>
        <w:spacing w:line="360" w:lineRule="auto"/>
      </w:pPr>
      <w:r w:rsidRPr="001D0938">
        <w:t>Electricity grid support</w:t>
      </w:r>
    </w:p>
    <w:p w14:paraId="0885329E" w14:textId="77777777" w:rsidR="001D0938" w:rsidRPr="001D0938" w:rsidRDefault="001D0938" w:rsidP="000B5F38">
      <w:pPr>
        <w:pStyle w:val="ListBullet"/>
        <w:spacing w:line="360" w:lineRule="auto"/>
      </w:pPr>
      <w:r w:rsidRPr="001D0938">
        <w:t>Communications</w:t>
      </w:r>
    </w:p>
    <w:p w14:paraId="78F38D0B" w14:textId="77777777" w:rsidR="001D0938" w:rsidRPr="001D0938" w:rsidRDefault="001D0938" w:rsidP="000B5F38">
      <w:pPr>
        <w:pStyle w:val="ListBullet"/>
        <w:spacing w:line="360" w:lineRule="auto"/>
      </w:pPr>
      <w:r w:rsidRPr="001D0938">
        <w:t>Noise testing</w:t>
      </w:r>
    </w:p>
    <w:p w14:paraId="3276E14C" w14:textId="77777777" w:rsidR="001D0938" w:rsidRPr="001D0938" w:rsidRDefault="001D0938" w:rsidP="000B5F38">
      <w:pPr>
        <w:pStyle w:val="ListBullet"/>
        <w:spacing w:line="360" w:lineRule="auto"/>
      </w:pPr>
      <w:r w:rsidRPr="001D0938">
        <w:t>EPC contractor</w:t>
      </w:r>
    </w:p>
    <w:p w14:paraId="15ADF5A8" w14:textId="77777777" w:rsidR="001D0938" w:rsidRPr="001D0938" w:rsidRDefault="001D0938" w:rsidP="000B5F38">
      <w:pPr>
        <w:pStyle w:val="ListBullet"/>
        <w:spacing w:line="360" w:lineRule="auto"/>
      </w:pPr>
      <w:r w:rsidRPr="001D0938">
        <w:t>Supply chain consulting</w:t>
      </w:r>
    </w:p>
    <w:p w14:paraId="4DB5E7BA" w14:textId="77777777" w:rsidR="001D0938" w:rsidRPr="001D0938" w:rsidRDefault="001D0938" w:rsidP="000B5F38">
      <w:pPr>
        <w:pStyle w:val="ListBullet"/>
        <w:spacing w:line="360" w:lineRule="auto"/>
      </w:pPr>
      <w:r w:rsidRPr="001D0938">
        <w:t>Engineering</w:t>
      </w:r>
    </w:p>
    <w:p w14:paraId="56879F2A" w14:textId="77777777" w:rsidR="001D0938" w:rsidRPr="001D0938" w:rsidRDefault="001D0938" w:rsidP="000B5F38">
      <w:pPr>
        <w:pStyle w:val="ListBullet"/>
        <w:spacing w:line="360" w:lineRule="auto"/>
      </w:pPr>
      <w:r w:rsidRPr="001D0938">
        <w:t>Site analysis</w:t>
      </w:r>
    </w:p>
    <w:p w14:paraId="2BF1EADF" w14:textId="77777777" w:rsidR="001D0938" w:rsidRPr="001D0938" w:rsidRDefault="001D0938" w:rsidP="000B5F38">
      <w:pPr>
        <w:pStyle w:val="ListBullet"/>
        <w:spacing w:line="360" w:lineRule="auto"/>
      </w:pPr>
      <w:r w:rsidRPr="001D0938">
        <w:t>Stakeholder engagement</w:t>
      </w:r>
    </w:p>
    <w:p w14:paraId="7ACC33F7" w14:textId="77777777" w:rsidR="001D0938" w:rsidRPr="001D0938" w:rsidRDefault="001D0938" w:rsidP="000B5F38">
      <w:pPr>
        <w:pStyle w:val="ListBullet"/>
        <w:spacing w:line="360" w:lineRule="auto"/>
      </w:pPr>
      <w:r w:rsidRPr="001D0938">
        <w:t>Technical Due diligence/auditing</w:t>
      </w:r>
    </w:p>
    <w:p w14:paraId="69EB0997" w14:textId="06F28B76" w:rsidR="001D0938" w:rsidRPr="001D0938" w:rsidRDefault="001D0938" w:rsidP="000B5F38">
      <w:pPr>
        <w:pStyle w:val="ListBullet"/>
        <w:spacing w:line="360" w:lineRule="auto"/>
      </w:pPr>
      <w:r w:rsidRPr="001D0938">
        <w:rPr>
          <w:lang w:val="en-AU"/>
        </w:rPr>
        <w:t>Project management.</w:t>
      </w:r>
    </w:p>
    <w:p w14:paraId="091CD6C0" w14:textId="77777777" w:rsidR="001D0938" w:rsidRDefault="001D0938" w:rsidP="001D0938">
      <w:pPr>
        <w:pStyle w:val="BodyText"/>
        <w:sectPr w:rsidR="001D0938" w:rsidSect="001D0938">
          <w:type w:val="continuous"/>
          <w:pgSz w:w="11906" w:h="16838"/>
          <w:pgMar w:top="1134" w:right="1134" w:bottom="1134" w:left="1134" w:header="720" w:footer="720" w:gutter="0"/>
          <w:cols w:num="3" w:space="720"/>
          <w:noEndnote/>
          <w:docGrid w:linePitch="326"/>
        </w:sectPr>
      </w:pPr>
    </w:p>
    <w:p w14:paraId="31384CE6" w14:textId="39B3A888" w:rsidR="00E9259E" w:rsidRPr="00F268B4" w:rsidRDefault="00E9259E" w:rsidP="00D10077">
      <w:pPr>
        <w:pStyle w:val="BodyText"/>
      </w:pPr>
      <w:r>
        <w:br w:type="page"/>
      </w:r>
    </w:p>
    <w:p w14:paraId="6A37E1C0" w14:textId="36E1F742" w:rsidR="007E58FC" w:rsidRPr="007E58FC" w:rsidRDefault="007E58FC" w:rsidP="009B6DEA">
      <w:pPr>
        <w:pStyle w:val="Heading1"/>
      </w:pPr>
      <w:bookmarkStart w:id="27" w:name="_Toc179905039"/>
      <w:r w:rsidRPr="007E58FC">
        <w:lastRenderedPageBreak/>
        <w:t>Key Victorian Government entities</w:t>
      </w:r>
      <w:bookmarkEnd w:id="27"/>
    </w:p>
    <w:p w14:paraId="148D2D6C" w14:textId="6555D176" w:rsidR="007E58FC" w:rsidRPr="007E58FC" w:rsidRDefault="007E58FC" w:rsidP="007E58FC">
      <w:pPr>
        <w:pStyle w:val="BodyText"/>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7E58FC">
      <w:pPr>
        <w:pStyle w:val="BodyText"/>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43"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44" w:tooltip="Hyperlink to Energy Victoria website" w:history="1">
        <w:r w:rsidRPr="00D174AC">
          <w:rPr>
            <w:rStyle w:val="Hyperlink"/>
          </w:rPr>
          <w:t>energy.vic.gov.au</w:t>
        </w:r>
      </w:hyperlink>
      <w:r w:rsidRPr="007E58FC">
        <w:br/>
      </w:r>
      <w:hyperlink r:id="rId45" w:tooltip="Hyperlink to Energy Victoria website" w:history="1">
        <w:r w:rsidRPr="00D174AC">
          <w:rPr>
            <w:rStyle w:val="Hyperlink"/>
          </w:rPr>
          <w:t>energy.vic.gov.au/ forindustry/investment-opportunities</w:t>
        </w:r>
      </w:hyperlink>
    </w:p>
    <w:p w14:paraId="4D282B31" w14:textId="77777777" w:rsidR="007E58FC" w:rsidRPr="007E58FC" w:rsidRDefault="007E58FC" w:rsidP="00E25BE6">
      <w:pPr>
        <w:pStyle w:val="Heading4"/>
      </w:pPr>
      <w:r w:rsidRPr="007E58FC">
        <w:t>Breakthrough Victoria</w:t>
      </w:r>
    </w:p>
    <w:p w14:paraId="190DE180" w14:textId="77777777" w:rsidR="007E58FC" w:rsidRPr="007E58FC" w:rsidRDefault="007E58FC" w:rsidP="00D174AC">
      <w:pPr>
        <w:pStyle w:val="BodyText"/>
        <w:ind w:right="-285"/>
      </w:pPr>
      <w:r w:rsidRPr="007E58FC">
        <w:t>Breakthrough Victoria is an independent investment management company established in 2021 to manage the Victorian Government’s landmark $2 billion Breakthrough Victoria Fund.</w:t>
      </w:r>
    </w:p>
    <w:p w14:paraId="7EF58309" w14:textId="317D1AD9" w:rsidR="007E58FC" w:rsidRPr="007E58FC" w:rsidRDefault="00D174AC" w:rsidP="007E58FC">
      <w:pPr>
        <w:pStyle w:val="BodyText"/>
      </w:pPr>
      <w:r>
        <w:t xml:space="preserve">Visit the website of </w:t>
      </w:r>
      <w:r w:rsidRPr="007E58FC">
        <w:t xml:space="preserve">Breakthrough Victoria </w:t>
      </w:r>
      <w:r>
        <w:t xml:space="preserve">at: </w:t>
      </w:r>
      <w:hyperlink r:id="rId46" w:tooltip="Hyperlink to Breakthrough Victoria website" w:history="1">
        <w:r w:rsidR="007E58FC" w:rsidRPr="00D174AC">
          <w:rPr>
            <w:rStyle w:val="Hyperlink"/>
          </w:rPr>
          <w:t>breakthroughvictoria.com</w:t>
        </w:r>
      </w:hyperlink>
    </w:p>
    <w:p w14:paraId="2BB0EC6D" w14:textId="77777777" w:rsidR="007E58FC" w:rsidRPr="007E58FC" w:rsidRDefault="007E58FC" w:rsidP="00E25BE6">
      <w:pPr>
        <w:pStyle w:val="Heading4"/>
      </w:pPr>
      <w:r w:rsidRPr="007E58FC">
        <w:t>Invest Victoria</w:t>
      </w:r>
    </w:p>
    <w:p w14:paraId="3D6AEAB0" w14:textId="77777777" w:rsidR="007E58FC" w:rsidRPr="007E58FC" w:rsidRDefault="007E58FC" w:rsidP="00D174AC">
      <w:pPr>
        <w:pStyle w:val="BodyText"/>
        <w:spacing w:after="60"/>
        <w:ind w:right="-143"/>
      </w:pPr>
      <w:r w:rsidRPr="007E58FC">
        <w:t>Invest Victoria is the Victorian Government’s investment attraction agency. Services include:</w:t>
      </w:r>
    </w:p>
    <w:p w14:paraId="49BA3AA7" w14:textId="77777777" w:rsidR="007E58FC" w:rsidRPr="007E58FC" w:rsidRDefault="007E58FC" w:rsidP="00D174AC">
      <w:pPr>
        <w:pStyle w:val="ListBullet"/>
      </w:pPr>
      <w:r w:rsidRPr="007E58FC">
        <w:t>market regulatory information</w:t>
      </w:r>
    </w:p>
    <w:p w14:paraId="0868F4E9" w14:textId="77777777" w:rsidR="007E58FC" w:rsidRPr="007E58FC" w:rsidRDefault="007E58FC" w:rsidP="00D174AC">
      <w:pPr>
        <w:pStyle w:val="ListBullet"/>
      </w:pPr>
      <w:r w:rsidRPr="007E58FC">
        <w:t>statutory approvals coordination</w:t>
      </w:r>
    </w:p>
    <w:p w14:paraId="3D8832C3" w14:textId="77777777" w:rsidR="007E58FC" w:rsidRPr="007E58FC" w:rsidRDefault="007E58FC" w:rsidP="00D174AC">
      <w:pPr>
        <w:pStyle w:val="ListBullet"/>
      </w:pPr>
      <w:r w:rsidRPr="007E58FC">
        <w:t>site location services</w:t>
      </w:r>
    </w:p>
    <w:p w14:paraId="2D102B72" w14:textId="77777777" w:rsidR="007E58FC" w:rsidRPr="007E58FC" w:rsidRDefault="007E58FC" w:rsidP="00D174AC">
      <w:pPr>
        <w:pStyle w:val="ListBullet"/>
      </w:pPr>
      <w:r w:rsidRPr="007E58FC">
        <w:lastRenderedPageBreak/>
        <w:t>identification of infrastructure and utility requirements</w:t>
      </w:r>
    </w:p>
    <w:p w14:paraId="605F8EA0" w14:textId="77777777" w:rsidR="007E58FC" w:rsidRPr="007E58FC" w:rsidRDefault="007E58FC" w:rsidP="00D174AC">
      <w:pPr>
        <w:pStyle w:val="ListBullet"/>
        <w:spacing w:after="240"/>
      </w:pPr>
      <w:r w:rsidRPr="007E58FC">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47"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48"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49"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50"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Sustainability Victoria empowers Victorians to live sustainably by taking action on climate change and using our precious resources wisely – to deliver a sustainable future for us all.</w:t>
      </w:r>
    </w:p>
    <w:p w14:paraId="243160C2" w14:textId="1AC5FA7B" w:rsidR="007E58FC" w:rsidRPr="007E58FC" w:rsidRDefault="00E47B79" w:rsidP="007E58FC">
      <w:pPr>
        <w:pStyle w:val="BodyText"/>
      </w:pPr>
      <w:r>
        <w:lastRenderedPageBreak/>
        <w:t xml:space="preserve">Visit the </w:t>
      </w:r>
      <w:r w:rsidRPr="007E58FC">
        <w:t xml:space="preserve">Sustainability Victoria </w:t>
      </w:r>
      <w:r>
        <w:t xml:space="preserve">website at: </w:t>
      </w:r>
      <w:hyperlink r:id="rId51"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r w:rsidRPr="007E58FC">
        <w:t>VicGrid</w:t>
      </w:r>
    </w:p>
    <w:p w14:paraId="2F2006B2" w14:textId="77777777" w:rsidR="007E58FC" w:rsidRPr="007E58FC" w:rsidRDefault="007E58FC" w:rsidP="007E58FC">
      <w:pPr>
        <w:pStyle w:val="BodyText"/>
      </w:pPr>
      <w:r w:rsidRPr="007E58FC">
        <w:t>VicGrid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r w:rsidRPr="007E58FC">
        <w:t xml:space="preserve">VicGrid </w:t>
      </w:r>
      <w:r>
        <w:t xml:space="preserve">website at: </w:t>
      </w:r>
      <w:hyperlink r:id="rId52"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28" w:name="_Toc179905040"/>
      <w:r w:rsidRPr="00E24412">
        <w:lastRenderedPageBreak/>
        <w:t>For international investors</w:t>
      </w:r>
      <w:bookmarkEnd w:id="28"/>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rsidRPr="00826220">
        <w:t>navigate investment opportunities in Victoria’s new energy technology sector</w:t>
      </w:r>
    </w:p>
    <w:p w14:paraId="65D6BE43" w14:textId="77777777" w:rsidR="00826220" w:rsidRPr="00826220" w:rsidRDefault="00826220" w:rsidP="00402031">
      <w:pPr>
        <w:pStyle w:val="ListBullet"/>
      </w:pPr>
      <w:r w:rsidRPr="00826220">
        <w:t>set up a briefing with energy specialists</w:t>
      </w:r>
    </w:p>
    <w:p w14:paraId="7A4E0467" w14:textId="77777777" w:rsidR="00826220" w:rsidRPr="00826220" w:rsidRDefault="00826220" w:rsidP="00402031">
      <w:pPr>
        <w:pStyle w:val="ListBullet"/>
      </w:pPr>
      <w:r w:rsidRPr="00826220">
        <w:t>arrange inbound market visits</w:t>
      </w:r>
    </w:p>
    <w:p w14:paraId="1E0BCB1F" w14:textId="77777777" w:rsidR="00826220" w:rsidRPr="00826220" w:rsidRDefault="00826220" w:rsidP="00402031">
      <w:pPr>
        <w:pStyle w:val="ListBullet"/>
        <w:spacing w:after="240"/>
      </w:pPr>
      <w:r w:rsidRPr="00826220">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53" w:tooltip="Hyperlink to list of office locations webpage" w:history="1">
        <w:r w:rsidRPr="00402031">
          <w:rPr>
            <w:rStyle w:val="Hyperlink"/>
          </w:rPr>
          <w:t>global.vic.gov.au/meet-our-global-team/all-office-locations</w:t>
        </w:r>
      </w:hyperlink>
    </w:p>
    <w:p w14:paraId="1E0EE890" w14:textId="54D35012" w:rsidR="00402031" w:rsidRDefault="00402031" w:rsidP="00402031">
      <w:pPr>
        <w:pStyle w:val="Caption"/>
        <w:keepNext/>
      </w:pPr>
      <w:r>
        <w:t xml:space="preserve">Figure </w:t>
      </w:r>
      <w:r w:rsidR="00937FC6">
        <w:fldChar w:fldCharType="begin"/>
      </w:r>
      <w:r w:rsidR="00937FC6">
        <w:instrText xml:space="preserve"> SEQ Figure \* ARABIC </w:instrText>
      </w:r>
      <w:r w:rsidR="00937FC6">
        <w:fldChar w:fldCharType="separate"/>
      </w:r>
      <w:r w:rsidR="00937FC6">
        <w:rPr>
          <w:noProof/>
        </w:rPr>
        <w:t>3</w:t>
      </w:r>
      <w:r w:rsidR="00937FC6">
        <w:rPr>
          <w:noProof/>
        </w:rPr>
        <w:fldChar w:fldCharType="end"/>
      </w:r>
      <w:r>
        <w:t xml:space="preserve">: </w:t>
      </w:r>
      <w:r w:rsidRPr="00BE2547">
        <w:t>Victorian Government Trade and Investment office locations</w:t>
      </w:r>
    </w:p>
    <w:p w14:paraId="2A1D11B4" w14:textId="77777777" w:rsidR="001F5677" w:rsidRDefault="001F5677" w:rsidP="001F5677">
      <w:pPr>
        <w:pStyle w:val="ListParagraph"/>
        <w:numPr>
          <w:ilvl w:val="0"/>
          <w:numId w:val="29"/>
        </w:numPr>
      </w:pPr>
      <w:r>
        <w:t>Melbourne, Australia</w:t>
      </w:r>
    </w:p>
    <w:p w14:paraId="383CF66A" w14:textId="77777777" w:rsidR="001F5677" w:rsidRDefault="001F5677" w:rsidP="001F5677">
      <w:pPr>
        <w:pStyle w:val="ListParagraph"/>
        <w:numPr>
          <w:ilvl w:val="0"/>
          <w:numId w:val="29"/>
        </w:numPr>
      </w:pPr>
      <w:r>
        <w:t>Kuala Lumpur</w:t>
      </w:r>
    </w:p>
    <w:p w14:paraId="15C61A0D" w14:textId="77777777" w:rsidR="001F5677" w:rsidRDefault="001F5677" w:rsidP="001F5677">
      <w:pPr>
        <w:pStyle w:val="ListParagraph"/>
        <w:numPr>
          <w:ilvl w:val="0"/>
          <w:numId w:val="29"/>
        </w:numPr>
      </w:pPr>
      <w:r>
        <w:t>Jakarta</w:t>
      </w:r>
    </w:p>
    <w:p w14:paraId="6BE21A85" w14:textId="77777777" w:rsidR="001F5677" w:rsidRDefault="001F5677" w:rsidP="001F5677">
      <w:pPr>
        <w:pStyle w:val="ListParagraph"/>
        <w:numPr>
          <w:ilvl w:val="0"/>
          <w:numId w:val="29"/>
        </w:numPr>
      </w:pPr>
      <w:r>
        <w:t>Singapore</w:t>
      </w:r>
    </w:p>
    <w:p w14:paraId="5C204A30" w14:textId="77777777" w:rsidR="001F5677" w:rsidRDefault="001F5677" w:rsidP="001F5677">
      <w:pPr>
        <w:pStyle w:val="ListParagraph"/>
        <w:numPr>
          <w:ilvl w:val="0"/>
          <w:numId w:val="29"/>
        </w:numPr>
      </w:pPr>
      <w:r>
        <w:t>Vietnam</w:t>
      </w:r>
    </w:p>
    <w:p w14:paraId="5DCB069A" w14:textId="77777777" w:rsidR="001F5677" w:rsidRDefault="001F5677" w:rsidP="001F5677">
      <w:pPr>
        <w:pStyle w:val="ListParagraph"/>
        <w:numPr>
          <w:ilvl w:val="0"/>
          <w:numId w:val="29"/>
        </w:numPr>
      </w:pPr>
      <w:r>
        <w:t>Tokyo</w:t>
      </w:r>
    </w:p>
    <w:p w14:paraId="50C922C1" w14:textId="77777777" w:rsidR="001F5677" w:rsidRDefault="001F5677" w:rsidP="001F5677">
      <w:pPr>
        <w:pStyle w:val="ListParagraph"/>
        <w:numPr>
          <w:ilvl w:val="0"/>
          <w:numId w:val="29"/>
        </w:numPr>
      </w:pPr>
      <w:r>
        <w:t>Seoul</w:t>
      </w:r>
    </w:p>
    <w:p w14:paraId="4F4713AA" w14:textId="77777777" w:rsidR="001F5677" w:rsidRDefault="001F5677" w:rsidP="001F5677">
      <w:pPr>
        <w:pStyle w:val="ListParagraph"/>
        <w:numPr>
          <w:ilvl w:val="0"/>
          <w:numId w:val="29"/>
        </w:numPr>
      </w:pPr>
      <w:r>
        <w:t>Bengaluru</w:t>
      </w:r>
    </w:p>
    <w:p w14:paraId="74CA3A85" w14:textId="77777777" w:rsidR="001F5677" w:rsidRDefault="001F5677" w:rsidP="001F5677">
      <w:pPr>
        <w:pStyle w:val="ListParagraph"/>
        <w:numPr>
          <w:ilvl w:val="0"/>
          <w:numId w:val="29"/>
        </w:numPr>
      </w:pPr>
      <w:r>
        <w:t>Mumbai</w:t>
      </w:r>
    </w:p>
    <w:p w14:paraId="0D33F163" w14:textId="77777777" w:rsidR="001F5677" w:rsidRDefault="001F5677" w:rsidP="001F5677">
      <w:pPr>
        <w:pStyle w:val="ListParagraph"/>
        <w:numPr>
          <w:ilvl w:val="0"/>
          <w:numId w:val="29"/>
        </w:numPr>
      </w:pPr>
      <w:r>
        <w:t>Shanghai</w:t>
      </w:r>
    </w:p>
    <w:p w14:paraId="1CC01A31" w14:textId="77777777" w:rsidR="001F5677" w:rsidRDefault="001F5677" w:rsidP="001F5677">
      <w:pPr>
        <w:pStyle w:val="ListParagraph"/>
        <w:numPr>
          <w:ilvl w:val="0"/>
          <w:numId w:val="29"/>
        </w:numPr>
      </w:pPr>
      <w:r>
        <w:t>Nanjing</w:t>
      </w:r>
    </w:p>
    <w:p w14:paraId="10B97842" w14:textId="77777777" w:rsidR="001F5677" w:rsidRDefault="001F5677" w:rsidP="001F5677">
      <w:pPr>
        <w:pStyle w:val="ListParagraph"/>
        <w:numPr>
          <w:ilvl w:val="0"/>
          <w:numId w:val="29"/>
        </w:numPr>
      </w:pPr>
      <w:r>
        <w:t>Chengdu</w:t>
      </w:r>
    </w:p>
    <w:p w14:paraId="36474721" w14:textId="77777777" w:rsidR="001F5677" w:rsidRDefault="001F5677" w:rsidP="001F5677">
      <w:pPr>
        <w:pStyle w:val="ListParagraph"/>
        <w:numPr>
          <w:ilvl w:val="0"/>
          <w:numId w:val="29"/>
        </w:numPr>
      </w:pPr>
      <w:r>
        <w:t>Beijing</w:t>
      </w:r>
    </w:p>
    <w:p w14:paraId="67809DF2" w14:textId="77777777" w:rsidR="001F5677" w:rsidRDefault="001F5677" w:rsidP="001F5677">
      <w:pPr>
        <w:pStyle w:val="ListParagraph"/>
        <w:numPr>
          <w:ilvl w:val="0"/>
          <w:numId w:val="29"/>
        </w:numPr>
      </w:pPr>
      <w:r>
        <w:t>Hong Kong</w:t>
      </w:r>
    </w:p>
    <w:p w14:paraId="4C382867" w14:textId="77777777" w:rsidR="001F5677" w:rsidRDefault="001F5677" w:rsidP="001F5677">
      <w:pPr>
        <w:pStyle w:val="ListParagraph"/>
        <w:numPr>
          <w:ilvl w:val="0"/>
          <w:numId w:val="29"/>
        </w:numPr>
      </w:pPr>
      <w:r>
        <w:t>London</w:t>
      </w:r>
    </w:p>
    <w:p w14:paraId="2172C8F1" w14:textId="77777777" w:rsidR="001F5677" w:rsidRDefault="001F5677" w:rsidP="001F5677">
      <w:pPr>
        <w:pStyle w:val="ListParagraph"/>
        <w:numPr>
          <w:ilvl w:val="0"/>
          <w:numId w:val="29"/>
        </w:numPr>
      </w:pPr>
      <w:r>
        <w:t>Paris</w:t>
      </w:r>
    </w:p>
    <w:p w14:paraId="4B939101" w14:textId="77777777" w:rsidR="001F5677" w:rsidRDefault="001F5677" w:rsidP="001F5677">
      <w:pPr>
        <w:pStyle w:val="ListParagraph"/>
        <w:numPr>
          <w:ilvl w:val="0"/>
          <w:numId w:val="29"/>
        </w:numPr>
      </w:pPr>
      <w:r>
        <w:t>Frankfurt</w:t>
      </w:r>
    </w:p>
    <w:p w14:paraId="772EA9D4" w14:textId="77777777" w:rsidR="001F5677" w:rsidRDefault="001F5677" w:rsidP="001F5677">
      <w:pPr>
        <w:pStyle w:val="ListParagraph"/>
        <w:numPr>
          <w:ilvl w:val="0"/>
          <w:numId w:val="29"/>
        </w:numPr>
      </w:pPr>
      <w:r>
        <w:t>Dubai</w:t>
      </w:r>
    </w:p>
    <w:p w14:paraId="54361B62" w14:textId="77777777" w:rsidR="001F5677" w:rsidRDefault="001F5677" w:rsidP="001F5677">
      <w:pPr>
        <w:pStyle w:val="ListParagraph"/>
        <w:numPr>
          <w:ilvl w:val="0"/>
          <w:numId w:val="29"/>
        </w:numPr>
      </w:pPr>
      <w:r>
        <w:t>Tel Aviv</w:t>
      </w:r>
    </w:p>
    <w:p w14:paraId="3AC551B3" w14:textId="77777777" w:rsidR="001F5677" w:rsidRDefault="001F5677" w:rsidP="001F5677">
      <w:pPr>
        <w:pStyle w:val="ListParagraph"/>
        <w:numPr>
          <w:ilvl w:val="0"/>
          <w:numId w:val="29"/>
        </w:numPr>
      </w:pPr>
      <w:r>
        <w:t>New York</w:t>
      </w:r>
    </w:p>
    <w:p w14:paraId="3EDC045D" w14:textId="77777777" w:rsidR="001F5677" w:rsidRDefault="001F5677" w:rsidP="001F5677">
      <w:pPr>
        <w:pStyle w:val="ListParagraph"/>
        <w:numPr>
          <w:ilvl w:val="0"/>
          <w:numId w:val="29"/>
        </w:numPr>
      </w:pPr>
      <w:r>
        <w:t>Washington DC</w:t>
      </w:r>
    </w:p>
    <w:p w14:paraId="19A03071" w14:textId="77777777" w:rsidR="001F5677" w:rsidRDefault="001F5677" w:rsidP="001F5677">
      <w:pPr>
        <w:pStyle w:val="ListParagraph"/>
        <w:numPr>
          <w:ilvl w:val="0"/>
          <w:numId w:val="29"/>
        </w:numPr>
      </w:pPr>
      <w:r>
        <w:t>Boston</w:t>
      </w:r>
    </w:p>
    <w:p w14:paraId="316F0B8F" w14:textId="77777777" w:rsidR="001F5677" w:rsidRDefault="001F5677" w:rsidP="001F5677">
      <w:pPr>
        <w:pStyle w:val="ListParagraph"/>
        <w:numPr>
          <w:ilvl w:val="0"/>
          <w:numId w:val="29"/>
        </w:numPr>
      </w:pPr>
      <w:r>
        <w:t>San Francisco</w:t>
      </w:r>
    </w:p>
    <w:p w14:paraId="0C1B42BF" w14:textId="77777777" w:rsidR="001F5677" w:rsidRPr="00F86E21" w:rsidRDefault="001F5677" w:rsidP="001F5677">
      <w:pPr>
        <w:pStyle w:val="ListParagraph"/>
        <w:numPr>
          <w:ilvl w:val="0"/>
          <w:numId w:val="29"/>
        </w:numPr>
      </w:pPr>
      <w:r>
        <w:t>Santiago</w:t>
      </w:r>
    </w:p>
    <w:p w14:paraId="1BA516F3" w14:textId="77777777" w:rsidR="001F5677" w:rsidRPr="001F5677" w:rsidRDefault="001F5677" w:rsidP="00D37781"/>
    <w:p w14:paraId="46CAF04E" w14:textId="298CF63F" w:rsidR="00826220" w:rsidRPr="00826220" w:rsidRDefault="00402031" w:rsidP="00826220">
      <w:pPr>
        <w:pStyle w:val="BodyText"/>
      </w:pPr>
      <w:r>
        <w:rPr>
          <w:noProof/>
        </w:rPr>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54"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1D0938">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614F" w14:textId="77777777" w:rsidR="00F526AA" w:rsidRDefault="00F526AA" w:rsidP="00F2730B">
      <w:pPr>
        <w:spacing w:after="0" w:line="240" w:lineRule="auto"/>
      </w:pPr>
      <w:r>
        <w:separator/>
      </w:r>
    </w:p>
  </w:endnote>
  <w:endnote w:type="continuationSeparator" w:id="0">
    <w:p w14:paraId="2680E5AB" w14:textId="77777777" w:rsidR="00F526AA" w:rsidRDefault="00F526A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269946"/>
      <w:docPartObj>
        <w:docPartGallery w:val="Page Numbers (Bottom of Page)"/>
        <w:docPartUnique/>
      </w:docPartObj>
    </w:sdtPr>
    <w:sdtContent>
      <w:p w14:paraId="6496420C" w14:textId="77777777" w:rsidR="00F268B4" w:rsidRDefault="00F268B4"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70C091" w14:textId="77777777" w:rsidR="00F268B4" w:rsidRDefault="00F268B4"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ADD6" w14:textId="77777777" w:rsidR="00F526AA" w:rsidRDefault="00F526AA" w:rsidP="00F2730B">
      <w:pPr>
        <w:spacing w:after="0" w:line="240" w:lineRule="auto"/>
      </w:pPr>
      <w:r>
        <w:separator/>
      </w:r>
    </w:p>
  </w:footnote>
  <w:footnote w:type="continuationSeparator" w:id="0">
    <w:p w14:paraId="3EE1A87D" w14:textId="77777777" w:rsidR="00F526AA" w:rsidRDefault="00F526AA"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935FC2"/>
    <w:multiLevelType w:val="hybridMultilevel"/>
    <w:tmpl w:val="CE30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91271"/>
    <w:multiLevelType w:val="hybridMultilevel"/>
    <w:tmpl w:val="556C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8"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8"/>
  </w:num>
  <w:num w:numId="2" w16cid:durableId="1813522522">
    <w:abstractNumId w:val="3"/>
  </w:num>
  <w:num w:numId="3" w16cid:durableId="533276510">
    <w:abstractNumId w:val="27"/>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10"/>
  </w:num>
  <w:num w:numId="10" w16cid:durableId="1207567416">
    <w:abstractNumId w:val="13"/>
  </w:num>
  <w:num w:numId="11" w16cid:durableId="1714499310">
    <w:abstractNumId w:val="12"/>
  </w:num>
  <w:num w:numId="12" w16cid:durableId="1557817223">
    <w:abstractNumId w:val="20"/>
  </w:num>
  <w:num w:numId="13" w16cid:durableId="766468131">
    <w:abstractNumId w:val="8"/>
  </w:num>
  <w:num w:numId="14" w16cid:durableId="401634644">
    <w:abstractNumId w:val="4"/>
  </w:num>
  <w:num w:numId="15" w16cid:durableId="1333338980">
    <w:abstractNumId w:val="9"/>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1"/>
  </w:num>
  <w:num w:numId="25" w16cid:durableId="1754938255">
    <w:abstractNumId w:val="14"/>
  </w:num>
  <w:num w:numId="26" w16cid:durableId="1013340051">
    <w:abstractNumId w:val="26"/>
  </w:num>
  <w:num w:numId="27" w16cid:durableId="888301183">
    <w:abstractNumId w:val="19"/>
  </w:num>
  <w:num w:numId="28" w16cid:durableId="727724714">
    <w:abstractNumId w:val="25"/>
  </w:num>
  <w:num w:numId="29" w16cid:durableId="113929925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5F38"/>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60E"/>
    <w:rsid w:val="00121F0D"/>
    <w:rsid w:val="00124CDD"/>
    <w:rsid w:val="00125150"/>
    <w:rsid w:val="001252BF"/>
    <w:rsid w:val="001273C5"/>
    <w:rsid w:val="00131B14"/>
    <w:rsid w:val="00132474"/>
    <w:rsid w:val="001326C2"/>
    <w:rsid w:val="0013301A"/>
    <w:rsid w:val="0013327E"/>
    <w:rsid w:val="00135B36"/>
    <w:rsid w:val="001450B6"/>
    <w:rsid w:val="001475FA"/>
    <w:rsid w:val="001500AB"/>
    <w:rsid w:val="00150D75"/>
    <w:rsid w:val="00151489"/>
    <w:rsid w:val="00152A8B"/>
    <w:rsid w:val="00154828"/>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0791"/>
    <w:rsid w:val="00191553"/>
    <w:rsid w:val="001920A5"/>
    <w:rsid w:val="00192DC5"/>
    <w:rsid w:val="0019451B"/>
    <w:rsid w:val="001950EE"/>
    <w:rsid w:val="001A118C"/>
    <w:rsid w:val="001A1FF9"/>
    <w:rsid w:val="001A358E"/>
    <w:rsid w:val="001A3704"/>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2D85"/>
    <w:rsid w:val="001C7E9F"/>
    <w:rsid w:val="001D023D"/>
    <w:rsid w:val="001D0938"/>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677"/>
    <w:rsid w:val="001F5C59"/>
    <w:rsid w:val="001F5FF3"/>
    <w:rsid w:val="001F6A53"/>
    <w:rsid w:val="002020A7"/>
    <w:rsid w:val="00202A5B"/>
    <w:rsid w:val="0020318C"/>
    <w:rsid w:val="00203251"/>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5CF0"/>
    <w:rsid w:val="002460FA"/>
    <w:rsid w:val="00246623"/>
    <w:rsid w:val="002528F3"/>
    <w:rsid w:val="00252A99"/>
    <w:rsid w:val="00252B69"/>
    <w:rsid w:val="002533B0"/>
    <w:rsid w:val="00253B39"/>
    <w:rsid w:val="00253CE5"/>
    <w:rsid w:val="00253E2B"/>
    <w:rsid w:val="002565F3"/>
    <w:rsid w:val="00260C6C"/>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BC5"/>
    <w:rsid w:val="00292E19"/>
    <w:rsid w:val="00295CE3"/>
    <w:rsid w:val="002A20DC"/>
    <w:rsid w:val="002A2BEF"/>
    <w:rsid w:val="002A3002"/>
    <w:rsid w:val="002B01C3"/>
    <w:rsid w:val="002B62BB"/>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0106"/>
    <w:rsid w:val="00331854"/>
    <w:rsid w:val="00332FE6"/>
    <w:rsid w:val="003360B7"/>
    <w:rsid w:val="003367D8"/>
    <w:rsid w:val="00336EEE"/>
    <w:rsid w:val="00337320"/>
    <w:rsid w:val="0034155C"/>
    <w:rsid w:val="0034757B"/>
    <w:rsid w:val="003478C5"/>
    <w:rsid w:val="00350920"/>
    <w:rsid w:val="00352F44"/>
    <w:rsid w:val="003560A1"/>
    <w:rsid w:val="003616B0"/>
    <w:rsid w:val="00363DB6"/>
    <w:rsid w:val="00365074"/>
    <w:rsid w:val="00365844"/>
    <w:rsid w:val="0036602E"/>
    <w:rsid w:val="00367F37"/>
    <w:rsid w:val="0037467D"/>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031"/>
    <w:rsid w:val="0040225E"/>
    <w:rsid w:val="00402AA5"/>
    <w:rsid w:val="00403A0C"/>
    <w:rsid w:val="00404B9B"/>
    <w:rsid w:val="00404F0E"/>
    <w:rsid w:val="00407A5A"/>
    <w:rsid w:val="00412C42"/>
    <w:rsid w:val="00413A1C"/>
    <w:rsid w:val="004153F9"/>
    <w:rsid w:val="004163B5"/>
    <w:rsid w:val="004213CB"/>
    <w:rsid w:val="00423210"/>
    <w:rsid w:val="004233C0"/>
    <w:rsid w:val="00424778"/>
    <w:rsid w:val="00432097"/>
    <w:rsid w:val="00433E87"/>
    <w:rsid w:val="00434824"/>
    <w:rsid w:val="00434D8A"/>
    <w:rsid w:val="00440A45"/>
    <w:rsid w:val="00450334"/>
    <w:rsid w:val="004511D5"/>
    <w:rsid w:val="00451ABC"/>
    <w:rsid w:val="00452637"/>
    <w:rsid w:val="00452CA4"/>
    <w:rsid w:val="0045371F"/>
    <w:rsid w:val="00454FF3"/>
    <w:rsid w:val="004554EA"/>
    <w:rsid w:val="00460D9F"/>
    <w:rsid w:val="0046189A"/>
    <w:rsid w:val="00463C15"/>
    <w:rsid w:val="00464889"/>
    <w:rsid w:val="0046520A"/>
    <w:rsid w:val="00467943"/>
    <w:rsid w:val="004702C7"/>
    <w:rsid w:val="00471616"/>
    <w:rsid w:val="00471860"/>
    <w:rsid w:val="0047195C"/>
    <w:rsid w:val="004732CA"/>
    <w:rsid w:val="00473A1E"/>
    <w:rsid w:val="00473D14"/>
    <w:rsid w:val="00477532"/>
    <w:rsid w:val="00480600"/>
    <w:rsid w:val="00480E45"/>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ED"/>
    <w:rsid w:val="004D2D64"/>
    <w:rsid w:val="004D2E96"/>
    <w:rsid w:val="004D4014"/>
    <w:rsid w:val="004D5F6A"/>
    <w:rsid w:val="004D603C"/>
    <w:rsid w:val="004E2D9F"/>
    <w:rsid w:val="004E4CB9"/>
    <w:rsid w:val="004E6D88"/>
    <w:rsid w:val="004F25AB"/>
    <w:rsid w:val="004F3F5B"/>
    <w:rsid w:val="004F4E70"/>
    <w:rsid w:val="004F7042"/>
    <w:rsid w:val="004F724A"/>
    <w:rsid w:val="004F77CA"/>
    <w:rsid w:val="005026E5"/>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37034"/>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74"/>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2920"/>
    <w:rsid w:val="005B593D"/>
    <w:rsid w:val="005B5FC2"/>
    <w:rsid w:val="005C1D42"/>
    <w:rsid w:val="005C4161"/>
    <w:rsid w:val="005C4602"/>
    <w:rsid w:val="005C4CEF"/>
    <w:rsid w:val="005C53CF"/>
    <w:rsid w:val="005C79C1"/>
    <w:rsid w:val="005D14B1"/>
    <w:rsid w:val="005D1F35"/>
    <w:rsid w:val="005D2DCB"/>
    <w:rsid w:val="005D4BBC"/>
    <w:rsid w:val="005D4D35"/>
    <w:rsid w:val="005D5D7F"/>
    <w:rsid w:val="005D5FC8"/>
    <w:rsid w:val="005D632D"/>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74681"/>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D766A"/>
    <w:rsid w:val="006E5AC4"/>
    <w:rsid w:val="006E5B70"/>
    <w:rsid w:val="006E7774"/>
    <w:rsid w:val="006E786E"/>
    <w:rsid w:val="006F1B27"/>
    <w:rsid w:val="006F293B"/>
    <w:rsid w:val="006F6B4C"/>
    <w:rsid w:val="00700646"/>
    <w:rsid w:val="00700BF1"/>
    <w:rsid w:val="007012DF"/>
    <w:rsid w:val="00706908"/>
    <w:rsid w:val="0071440E"/>
    <w:rsid w:val="0071469C"/>
    <w:rsid w:val="00715677"/>
    <w:rsid w:val="00721B65"/>
    <w:rsid w:val="00726F73"/>
    <w:rsid w:val="0073035C"/>
    <w:rsid w:val="0073158C"/>
    <w:rsid w:val="007317D7"/>
    <w:rsid w:val="00732151"/>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6A5F"/>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AE5"/>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25D"/>
    <w:rsid w:val="007D58CB"/>
    <w:rsid w:val="007D6D7F"/>
    <w:rsid w:val="007E04F5"/>
    <w:rsid w:val="007E1BDA"/>
    <w:rsid w:val="007E1E59"/>
    <w:rsid w:val="007E2A3D"/>
    <w:rsid w:val="007E2EB8"/>
    <w:rsid w:val="007E58FC"/>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FF0"/>
    <w:rsid w:val="00801702"/>
    <w:rsid w:val="00801F8F"/>
    <w:rsid w:val="00803E96"/>
    <w:rsid w:val="00807062"/>
    <w:rsid w:val="008071AB"/>
    <w:rsid w:val="008118D0"/>
    <w:rsid w:val="00811E7F"/>
    <w:rsid w:val="008124B6"/>
    <w:rsid w:val="00812580"/>
    <w:rsid w:val="00821025"/>
    <w:rsid w:val="00823811"/>
    <w:rsid w:val="00826220"/>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ADD"/>
    <w:rsid w:val="00863E6B"/>
    <w:rsid w:val="00874D3A"/>
    <w:rsid w:val="00875B2C"/>
    <w:rsid w:val="008766CE"/>
    <w:rsid w:val="00876D01"/>
    <w:rsid w:val="00876FBF"/>
    <w:rsid w:val="00880B31"/>
    <w:rsid w:val="0088165C"/>
    <w:rsid w:val="00881924"/>
    <w:rsid w:val="00883471"/>
    <w:rsid w:val="00883DBD"/>
    <w:rsid w:val="008847C1"/>
    <w:rsid w:val="00884818"/>
    <w:rsid w:val="0088657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426A"/>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0311"/>
    <w:rsid w:val="008F2872"/>
    <w:rsid w:val="008F350A"/>
    <w:rsid w:val="00900F9F"/>
    <w:rsid w:val="009033BD"/>
    <w:rsid w:val="00904039"/>
    <w:rsid w:val="00904089"/>
    <w:rsid w:val="0090795E"/>
    <w:rsid w:val="00910401"/>
    <w:rsid w:val="00911A34"/>
    <w:rsid w:val="00912683"/>
    <w:rsid w:val="00912B69"/>
    <w:rsid w:val="00912DD1"/>
    <w:rsid w:val="00920E49"/>
    <w:rsid w:val="0092332B"/>
    <w:rsid w:val="00926553"/>
    <w:rsid w:val="009337EB"/>
    <w:rsid w:val="00933FE2"/>
    <w:rsid w:val="0093403C"/>
    <w:rsid w:val="00937FC6"/>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76A5A"/>
    <w:rsid w:val="00980033"/>
    <w:rsid w:val="0098122F"/>
    <w:rsid w:val="00990684"/>
    <w:rsid w:val="0099081D"/>
    <w:rsid w:val="00992F4F"/>
    <w:rsid w:val="00993223"/>
    <w:rsid w:val="009938B4"/>
    <w:rsid w:val="009940F3"/>
    <w:rsid w:val="00994774"/>
    <w:rsid w:val="009951A1"/>
    <w:rsid w:val="009953A8"/>
    <w:rsid w:val="00996A8E"/>
    <w:rsid w:val="009A03C6"/>
    <w:rsid w:val="009A19C2"/>
    <w:rsid w:val="009A37D5"/>
    <w:rsid w:val="009A683D"/>
    <w:rsid w:val="009B1A0A"/>
    <w:rsid w:val="009B1F92"/>
    <w:rsid w:val="009B44C9"/>
    <w:rsid w:val="009B5929"/>
    <w:rsid w:val="009B6DEA"/>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053"/>
    <w:rsid w:val="009F5498"/>
    <w:rsid w:val="009F57D1"/>
    <w:rsid w:val="009F5842"/>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31A3"/>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A4BB5"/>
    <w:rsid w:val="00AA6117"/>
    <w:rsid w:val="00AA6A15"/>
    <w:rsid w:val="00AB025E"/>
    <w:rsid w:val="00AB048F"/>
    <w:rsid w:val="00AB1818"/>
    <w:rsid w:val="00AB4ACE"/>
    <w:rsid w:val="00AB6104"/>
    <w:rsid w:val="00AB79D2"/>
    <w:rsid w:val="00AB7BD4"/>
    <w:rsid w:val="00AC112E"/>
    <w:rsid w:val="00AC1CA0"/>
    <w:rsid w:val="00AC5812"/>
    <w:rsid w:val="00AC5CFD"/>
    <w:rsid w:val="00AC6D47"/>
    <w:rsid w:val="00AD3A2F"/>
    <w:rsid w:val="00AD4396"/>
    <w:rsid w:val="00AD5001"/>
    <w:rsid w:val="00AD52F8"/>
    <w:rsid w:val="00AD7F22"/>
    <w:rsid w:val="00AE0F04"/>
    <w:rsid w:val="00AE397A"/>
    <w:rsid w:val="00AE4701"/>
    <w:rsid w:val="00AE66E0"/>
    <w:rsid w:val="00AF21A3"/>
    <w:rsid w:val="00AF5F4E"/>
    <w:rsid w:val="00B0026D"/>
    <w:rsid w:val="00B01AE9"/>
    <w:rsid w:val="00B036EA"/>
    <w:rsid w:val="00B039CA"/>
    <w:rsid w:val="00B06E29"/>
    <w:rsid w:val="00B112D4"/>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37803"/>
    <w:rsid w:val="00B40005"/>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4E3"/>
    <w:rsid w:val="00BC661C"/>
    <w:rsid w:val="00BD0024"/>
    <w:rsid w:val="00BD0533"/>
    <w:rsid w:val="00BD22FE"/>
    <w:rsid w:val="00BD34D3"/>
    <w:rsid w:val="00BD69CF"/>
    <w:rsid w:val="00BE09DE"/>
    <w:rsid w:val="00BE0B32"/>
    <w:rsid w:val="00BE0BA2"/>
    <w:rsid w:val="00BE1755"/>
    <w:rsid w:val="00BE1C6A"/>
    <w:rsid w:val="00BE1D2C"/>
    <w:rsid w:val="00BE3BB8"/>
    <w:rsid w:val="00BF02CA"/>
    <w:rsid w:val="00BF1AD6"/>
    <w:rsid w:val="00BF1C64"/>
    <w:rsid w:val="00BF5DD9"/>
    <w:rsid w:val="00BF6DBE"/>
    <w:rsid w:val="00C02569"/>
    <w:rsid w:val="00C03FBA"/>
    <w:rsid w:val="00C07867"/>
    <w:rsid w:val="00C103A5"/>
    <w:rsid w:val="00C10BA8"/>
    <w:rsid w:val="00C122AF"/>
    <w:rsid w:val="00C1246C"/>
    <w:rsid w:val="00C12668"/>
    <w:rsid w:val="00C12C5B"/>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3598"/>
    <w:rsid w:val="00C44560"/>
    <w:rsid w:val="00C44F82"/>
    <w:rsid w:val="00C45CF0"/>
    <w:rsid w:val="00C47BD5"/>
    <w:rsid w:val="00C55187"/>
    <w:rsid w:val="00C6259B"/>
    <w:rsid w:val="00C62E58"/>
    <w:rsid w:val="00C638FE"/>
    <w:rsid w:val="00C64186"/>
    <w:rsid w:val="00C65271"/>
    <w:rsid w:val="00C67AAC"/>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377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77"/>
    <w:rsid w:val="00D10094"/>
    <w:rsid w:val="00D10395"/>
    <w:rsid w:val="00D121C3"/>
    <w:rsid w:val="00D12634"/>
    <w:rsid w:val="00D1334E"/>
    <w:rsid w:val="00D1720D"/>
    <w:rsid w:val="00D174AC"/>
    <w:rsid w:val="00D17B1A"/>
    <w:rsid w:val="00D209D5"/>
    <w:rsid w:val="00D20D87"/>
    <w:rsid w:val="00D2282F"/>
    <w:rsid w:val="00D24556"/>
    <w:rsid w:val="00D26A00"/>
    <w:rsid w:val="00D2747B"/>
    <w:rsid w:val="00D2758B"/>
    <w:rsid w:val="00D27AF4"/>
    <w:rsid w:val="00D35365"/>
    <w:rsid w:val="00D3729B"/>
    <w:rsid w:val="00D37662"/>
    <w:rsid w:val="00D37781"/>
    <w:rsid w:val="00D40B37"/>
    <w:rsid w:val="00D442BA"/>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713"/>
    <w:rsid w:val="00D816A3"/>
    <w:rsid w:val="00D8189F"/>
    <w:rsid w:val="00D81AAB"/>
    <w:rsid w:val="00D8403B"/>
    <w:rsid w:val="00D84E86"/>
    <w:rsid w:val="00D86BCD"/>
    <w:rsid w:val="00D871E0"/>
    <w:rsid w:val="00D877EA"/>
    <w:rsid w:val="00D931BC"/>
    <w:rsid w:val="00D9405A"/>
    <w:rsid w:val="00D94728"/>
    <w:rsid w:val="00D96D80"/>
    <w:rsid w:val="00DA0241"/>
    <w:rsid w:val="00DA0671"/>
    <w:rsid w:val="00DA2645"/>
    <w:rsid w:val="00DA537A"/>
    <w:rsid w:val="00DA5A0B"/>
    <w:rsid w:val="00DB049C"/>
    <w:rsid w:val="00DB16C0"/>
    <w:rsid w:val="00DB2F86"/>
    <w:rsid w:val="00DB439B"/>
    <w:rsid w:val="00DB500B"/>
    <w:rsid w:val="00DB7D85"/>
    <w:rsid w:val="00DC0304"/>
    <w:rsid w:val="00DC227D"/>
    <w:rsid w:val="00DC2719"/>
    <w:rsid w:val="00DC3BE3"/>
    <w:rsid w:val="00DD0D28"/>
    <w:rsid w:val="00DD342E"/>
    <w:rsid w:val="00DD5413"/>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00EE"/>
    <w:rsid w:val="00E24412"/>
    <w:rsid w:val="00E2494E"/>
    <w:rsid w:val="00E25BE6"/>
    <w:rsid w:val="00E25D0B"/>
    <w:rsid w:val="00E27B9E"/>
    <w:rsid w:val="00E30706"/>
    <w:rsid w:val="00E33504"/>
    <w:rsid w:val="00E33DED"/>
    <w:rsid w:val="00E34982"/>
    <w:rsid w:val="00E3623C"/>
    <w:rsid w:val="00E3689F"/>
    <w:rsid w:val="00E37BF1"/>
    <w:rsid w:val="00E43E76"/>
    <w:rsid w:val="00E44349"/>
    <w:rsid w:val="00E47B7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259E"/>
    <w:rsid w:val="00E93CA1"/>
    <w:rsid w:val="00E9437E"/>
    <w:rsid w:val="00E95B04"/>
    <w:rsid w:val="00E9678C"/>
    <w:rsid w:val="00E97655"/>
    <w:rsid w:val="00E97FAE"/>
    <w:rsid w:val="00EA1D8F"/>
    <w:rsid w:val="00EA4C55"/>
    <w:rsid w:val="00EB1FFC"/>
    <w:rsid w:val="00EB209D"/>
    <w:rsid w:val="00EB323D"/>
    <w:rsid w:val="00EB3DDE"/>
    <w:rsid w:val="00EB3FBA"/>
    <w:rsid w:val="00EB4048"/>
    <w:rsid w:val="00EB5B27"/>
    <w:rsid w:val="00EC49FE"/>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07ED6"/>
    <w:rsid w:val="00F138D1"/>
    <w:rsid w:val="00F148EB"/>
    <w:rsid w:val="00F14FDC"/>
    <w:rsid w:val="00F1500A"/>
    <w:rsid w:val="00F15770"/>
    <w:rsid w:val="00F15923"/>
    <w:rsid w:val="00F15AAB"/>
    <w:rsid w:val="00F1720B"/>
    <w:rsid w:val="00F177F3"/>
    <w:rsid w:val="00F21414"/>
    <w:rsid w:val="00F21502"/>
    <w:rsid w:val="00F22E6E"/>
    <w:rsid w:val="00F253F6"/>
    <w:rsid w:val="00F268B4"/>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6AA"/>
    <w:rsid w:val="00F53F68"/>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E03"/>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FC6D19BB-2211-494F-B9BF-36AD938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38"/>
    <w:pPr>
      <w:suppressAutoHyphens/>
      <w:spacing w:after="200"/>
    </w:pPr>
    <w:rPr>
      <w:sz w:val="24"/>
    </w:rPr>
  </w:style>
  <w:style w:type="paragraph" w:styleId="Heading1">
    <w:name w:val="heading 1"/>
    <w:basedOn w:val="Normal"/>
    <w:next w:val="Normal"/>
    <w:link w:val="Heading1Char"/>
    <w:uiPriority w:val="9"/>
    <w:qFormat/>
    <w:rsid w:val="00440A45"/>
    <w:pPr>
      <w:keepNext/>
      <w:keepLines/>
      <w:spacing w:after="48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40A4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9B6DEA"/>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 w:type="paragraph" w:customStyle="1" w:styleId="Heading3NETIStyles">
    <w:name w:val="_Heading 3 (NETI_Styles)"/>
    <w:basedOn w:val="Normal"/>
    <w:uiPriority w:val="99"/>
    <w:rsid w:val="009951A1"/>
    <w:pPr>
      <w:autoSpaceDE w:val="0"/>
      <w:autoSpaceDN w:val="0"/>
      <w:adjustRightInd w:val="0"/>
      <w:spacing w:after="57" w:line="260" w:lineRule="atLeast"/>
      <w:textAlignment w:val="center"/>
    </w:pPr>
    <w:rPr>
      <w:rFonts w:ascii="VIC SemiBold" w:hAnsi="VIC SemiBold" w:cs="VIC SemiBold"/>
      <w:b/>
      <w:bCs/>
      <w:color w:val="000000"/>
      <w:sz w:val="21"/>
      <w:szCs w:val="21"/>
      <w:lang w:val="en-GB"/>
    </w:rPr>
  </w:style>
  <w:style w:type="paragraph" w:customStyle="1" w:styleId="Heading2NETIStyles">
    <w:name w:val="_Heading 2 (NETI_Styles)"/>
    <w:basedOn w:val="NoParagraphStyle"/>
    <w:uiPriority w:val="99"/>
    <w:rsid w:val="001D0938"/>
    <w:pPr>
      <w:widowControl/>
      <w:suppressAutoHyphens/>
      <w:spacing w:after="57" w:line="300" w:lineRule="atLeast"/>
    </w:pPr>
    <w:rPr>
      <w:rFonts w:ascii="VIC SemiBold" w:hAnsi="VIC SemiBold" w:cs="VIC SemiBold"/>
      <w:b/>
      <w:bCs/>
      <w:color w:val="1984FF"/>
      <w:spacing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ccesshub.gov.au/" TargetMode="External"/><Relationship Id="rId26" Type="http://schemas.openxmlformats.org/officeDocument/2006/relationships/image" Target="media/image2.png"/><Relationship Id="rId39" Type="http://schemas.openxmlformats.org/officeDocument/2006/relationships/hyperlink" Target="http://energy.vic.gov.au/for-industry/investment-opportunities" TargetMode="External"/><Relationship Id="rId21" Type="http://schemas.openxmlformats.org/officeDocument/2006/relationships/hyperlink" Target="https://www.deeca.vic.gov.au/" TargetMode="External"/><Relationship Id="rId34" Type="http://schemas.openxmlformats.org/officeDocument/2006/relationships/hyperlink" Target="http://dcceew.gov.au/energy/renewable/capacity-investment-scheme" TargetMode="External"/><Relationship Id="rId42" Type="http://schemas.openxmlformats.org/officeDocument/2006/relationships/footer" Target="footer3.xml"/><Relationship Id="rId47" Type="http://schemas.openxmlformats.org/officeDocument/2006/relationships/hyperlink" Target="http://invest.vic.gov.au/" TargetMode="External"/><Relationship Id="rId50" Type="http://schemas.openxmlformats.org/officeDocument/2006/relationships/hyperlink" Target="http://solar.vic.gov.au/"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http://energy.vic.gov.au/about-energy/news/news-stories/better-managing-biodiversity-impacts-of-energy-projects" TargetMode="External"/><Relationship Id="rId11" Type="http://schemas.openxmlformats.org/officeDocument/2006/relationships/webSettings" Target="webSettings.xml"/><Relationship Id="rId24" Type="http://schemas.openxmlformats.org/officeDocument/2006/relationships/hyperlink" Target="mailto:market.engagement.vicgrid@deeca.vic.gov.au" TargetMode="External"/><Relationship Id="rId32" Type="http://schemas.openxmlformats.org/officeDocument/2006/relationships/hyperlink" Target="http://marineandcoasts.vic.gov.au/marine-and-coastal-knowledge/MBV" TargetMode="External"/><Relationship Id="rId37" Type="http://schemas.openxmlformats.org/officeDocument/2006/relationships/hyperlink" Target="http://www.iberdrola.com.au/" TargetMode="External"/><Relationship Id="rId40" Type="http://schemas.openxmlformats.org/officeDocument/2006/relationships/hyperlink" Target="http://tiltrenewables.com/assets-and-projects/Dundonnell-Wind-Farm" TargetMode="External"/><Relationship Id="rId45" Type="http://schemas.openxmlformats.org/officeDocument/2006/relationships/hyperlink" Target="http://energy.vic.gov.au/%20forindustry/investment-opportunities" TargetMode="External"/><Relationship Id="rId53" Type="http://schemas.openxmlformats.org/officeDocument/2006/relationships/hyperlink" Target="http://global.vic.gov.au/meet-our-global-team/all-office-locations"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accesshub.gov.au/" TargetMode="External"/><Relationship Id="rId31" Type="http://schemas.openxmlformats.org/officeDocument/2006/relationships/footer" Target="footer2.xml"/><Relationship Id="rId44" Type="http://schemas.openxmlformats.org/officeDocument/2006/relationships/hyperlink" Target="http://energy.vic.gov.au/" TargetMode="External"/><Relationship Id="rId52" Type="http://schemas.openxmlformats.org/officeDocument/2006/relationships/hyperlink" Target="http://energy.vic.gov.au/renewable-%20energy/renewable-energy-zon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energy.vic.gov.au/renewable-energy/victorias-electricity-future" TargetMode="External"/><Relationship Id="rId27" Type="http://schemas.openxmlformats.org/officeDocument/2006/relationships/hyperlink" Target="http://energy.vic.gov.au/renewable-%20energy/victorian-renewable-energy-and-storage-targets/victorian-renewable-energy-target-auction-vret2" TargetMode="External"/><Relationship Id="rId30" Type="http://schemas.openxmlformats.org/officeDocument/2006/relationships/hyperlink" Target="http://environment.vic.gov.au/biodiversity/habitat_value" TargetMode="External"/><Relationship Id="rId35" Type="http://schemas.openxmlformats.org/officeDocument/2006/relationships/hyperlink" Target="http://topuniversities.com/world-university-rankings?page=2" TargetMode="External"/><Relationship Id="rId43" Type="http://schemas.openxmlformats.org/officeDocument/2006/relationships/hyperlink" Target="mailto:BIE@deeca.vic.gov.au" TargetMode="External"/><Relationship Id="rId48" Type="http://schemas.openxmlformats.org/officeDocument/2006/relationships/hyperlink" Target="http://energy.vic.gov.au/renewable-energy/offshore-%20wind-energy"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ustainability.vic.gov.au/"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johnallen/Desktop/DECCA%20Work/2024/AUGUST/13%20August%202024/customer.service@delwp.vic.gov.au" TargetMode="External"/><Relationship Id="rId25" Type="http://schemas.openxmlformats.org/officeDocument/2006/relationships/hyperlink" Target="http://secvictoria.com.au/" TargetMode="External"/><Relationship Id="rId33" Type="http://schemas.openxmlformats.org/officeDocument/2006/relationships/hyperlink" Target="https://treasury.gov.au/publication/p2024-526942" TargetMode="External"/><Relationship Id="rId38" Type="http://schemas.openxmlformats.org/officeDocument/2006/relationships/hyperlink" Target="http://energy.vic.gov.au/renewable-energy/victorian-renewable-energy-and-storage-targets" TargetMode="External"/><Relationship Id="rId46" Type="http://schemas.openxmlformats.org/officeDocument/2006/relationships/hyperlink" Target="http://breakthroughvictoria.com/" TargetMode="External"/><Relationship Id="rId20" Type="http://schemas.openxmlformats.org/officeDocument/2006/relationships/hyperlink" Target="https://www.deeca.vic.gov.au/" TargetMode="External"/><Relationship Id="rId41" Type="http://schemas.openxmlformats.org/officeDocument/2006/relationships/hyperlink" Target="http://bulganagreenpowerhub.com.au/"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image" Target="media/image1.jpeg"/><Relationship Id="rId28" Type="http://schemas.openxmlformats.org/officeDocument/2006/relationships/hyperlink" Target="http://planning.vic.gov.au/planning-approvals/planning-enquiries-and-requests/development-facilitation-program" TargetMode="External"/><Relationship Id="rId36" Type="http://schemas.openxmlformats.org/officeDocument/2006/relationships/hyperlink" Target="http://goldenplainswindfarm.com.au/" TargetMode="External"/><Relationship Id="rId49" Type="http://schemas.openxmlformats.org/officeDocument/2006/relationships/hyperlink" Target="http://vic.gov.au/state-electricity-commission-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DOCID657-1106383867-2174</_dlc_DocId>
    <_dlc_DocIdUrl xmlns="a5f32de4-e402-4188-b034-e71ca7d22e54">
      <Url>https://delwpvicgovau.sharepoint.com/sites/ecm_657/_layouts/15/DocIdRedir.aspx?ID=DOCID657-1106383867-2174</Url>
      <Description>DOCID657-1106383867-2174</Description>
    </_dlc_DocIdUrl>
    <DLCPolicyLabelValue xmlns="05aa45cf-ed89-4733-97a8-db4ce5c51511">Version {_UIVersionString}</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2373950A-E52C-44BB-82F6-47BBB600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72124-7A20-433F-82AA-5F86E02C9CB4}">
  <ds:schemaRefs>
    <ds:schemaRef ds:uri="http://schemas.microsoft.com/sharepoint/v3/contenttype/forms"/>
  </ds:schemaRefs>
</ds:datastoreItem>
</file>

<file path=customXml/itemProps4.xml><?xml version="1.0" encoding="utf-8"?>
<ds:datastoreItem xmlns:ds="http://schemas.openxmlformats.org/officeDocument/2006/customXml" ds:itemID="{26F091F5-EA32-4524-AA0C-C7351A33FF80}">
  <ds:schemaRefs>
    <ds:schemaRef ds:uri="http://schemas.microsoft.com/sharepoint/events"/>
  </ds:schemaRefs>
</ds:datastoreItem>
</file>

<file path=customXml/itemProps5.xml><?xml version="1.0" encoding="utf-8"?>
<ds:datastoreItem xmlns:ds="http://schemas.openxmlformats.org/officeDocument/2006/customXml" ds:itemID="{E7E426C9-F2B5-4FB0-9268-A95BA50373F7}">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customXml/itemProps6.xml><?xml version="1.0" encoding="utf-8"?>
<ds:datastoreItem xmlns:ds="http://schemas.openxmlformats.org/officeDocument/2006/customXml" ds:itemID="{8D5837C5-C587-4198-8A8F-BD99006E9F17}">
  <ds:schemaRefs>
    <ds:schemaRef ds:uri="Microsoft.SharePoint.Taxonomy.ContentTypeSync"/>
  </ds:schemaRefs>
</ds:datastoreItem>
</file>

<file path=customXml/itemProps7.xml><?xml version="1.0" encoding="utf-8"?>
<ds:datastoreItem xmlns:ds="http://schemas.openxmlformats.org/officeDocument/2006/customXml" ds:itemID="{9725AE95-9F80-4441-90EC-DBADB1071EC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6262</Words>
  <Characters>35695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8</cp:revision>
  <dcterms:created xsi:type="dcterms:W3CDTF">2024-10-16T03:49:00Z</dcterms:created>
  <dcterms:modified xsi:type="dcterms:W3CDTF">2025-03-10T23:50:00Z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19400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Dissemination Limiting Marker">
    <vt:lpwstr>3</vt:lpwstr>
  </property>
  <property fmtid="{D5CDD505-2E9C-101B-9397-08002B2CF9AE}" pid="15" name="Security Classification">
    <vt:lpwstr>2</vt:lpwstr>
  </property>
  <property fmtid="{D5CDD505-2E9C-101B-9397-08002B2CF9AE}" pid="16" name="Record Purpose">
    <vt:lpwstr/>
  </property>
  <property fmtid="{D5CDD505-2E9C-101B-9397-08002B2CF9AE}" pid="17" name="_dlc_DocIdItemGuid">
    <vt:lpwstr>520b2c6f-6c13-4ed1-a5be-bd28e3eb8e91</vt:lpwstr>
  </property>
  <property fmtid="{D5CDD505-2E9C-101B-9397-08002B2CF9AE}" pid="18" name="MediaServiceImageTags">
    <vt:lpwstr/>
  </property>
  <property fmtid="{D5CDD505-2E9C-101B-9397-08002B2CF9AE}" pid="19" name="Archive">
    <vt:lpwstr>Current</vt:lpwstr>
  </property>
  <property fmtid="{D5CDD505-2E9C-101B-9397-08002B2CF9AE}" pid="20" name="DocumentSetDescription">
    <vt:lpwstr/>
  </property>
  <property fmtid="{D5CDD505-2E9C-101B-9397-08002B2CF9AE}" pid="21" name="xd_ProgID">
    <vt:lpwstr/>
  </property>
  <property fmtid="{D5CDD505-2E9C-101B-9397-08002B2CF9AE}" pid="22" name="_SourceUrl">
    <vt:lpwstr/>
  </property>
  <property fmtid="{D5CDD505-2E9C-101B-9397-08002B2CF9AE}" pid="23" name="Document Classification">
    <vt:lpwstr>Stakeholder Engagement</vt:lpwstr>
  </property>
  <property fmtid="{D5CDD505-2E9C-101B-9397-08002B2CF9AE}" pid="24" name="_SharedFileIndex">
    <vt:lpwstr/>
  </property>
  <property fmtid="{D5CDD505-2E9C-101B-9397-08002B2CF9AE}" pid="25" name="Records Class Project">
    <vt:lpwstr/>
  </property>
  <property fmtid="{D5CDD505-2E9C-101B-9397-08002B2CF9AE}" pid="26" name="TemplateUrl">
    <vt:lpwstr/>
  </property>
  <property fmtid="{D5CDD505-2E9C-101B-9397-08002B2CF9AE}" pid="27" name="Records_x0020_Class_x0020_Project">
    <vt:lpwstr/>
  </property>
  <property fmtid="{D5CDD505-2E9C-101B-9397-08002B2CF9AE}" pid="28" name="Security_x0020_Classification">
    <vt:lpwstr>2</vt:lpwstr>
  </property>
  <property fmtid="{D5CDD505-2E9C-101B-9397-08002B2CF9AE}" pid="29" name="Record_x0020_Purpose">
    <vt:lpwstr/>
  </property>
  <property fmtid="{D5CDD505-2E9C-101B-9397-08002B2CF9AE}" pid="30" name="Department_x0020_Document_x0020_Type">
    <vt:lpwstr/>
  </property>
  <property fmtid="{D5CDD505-2E9C-101B-9397-08002B2CF9AE}" pid="31" name="xd_Signature">
    <vt:bool>false</vt:bool>
  </property>
  <property fmtid="{D5CDD505-2E9C-101B-9397-08002B2CF9AE}" pid="32" name="Dissemination_x0020_Limiting_x0020_Marker">
    <vt:lpwstr>3</vt:lpwstr>
  </property>
  <property fmtid="{D5CDD505-2E9C-101B-9397-08002B2CF9AE}" pid="33" name="Department Document Type">
    <vt:lpwstr/>
  </property>
</Properties>
</file>