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C12E" w14:textId="33E52351" w:rsidR="00D0622D" w:rsidRPr="002E7963" w:rsidRDefault="00D0622D" w:rsidP="002E7963">
      <w:pPr>
        <w:pStyle w:val="Heading1"/>
        <w:spacing w:line="276" w:lineRule="auto"/>
        <w:rPr>
          <w:sz w:val="68"/>
          <w:szCs w:val="68"/>
        </w:rPr>
      </w:pPr>
      <w:r w:rsidRPr="002E7963">
        <w:rPr>
          <w:sz w:val="68"/>
          <w:szCs w:val="68"/>
        </w:rPr>
        <w:t>Save money and the environment with your new all electric home</w:t>
      </w:r>
    </w:p>
    <w:p w14:paraId="54A9D7BD" w14:textId="77777777" w:rsidR="00D0622D" w:rsidRPr="002E7963" w:rsidRDefault="00D0622D" w:rsidP="00C900E4">
      <w:pPr>
        <w:pStyle w:val="Introduction"/>
      </w:pPr>
      <w:r w:rsidRPr="002E7963">
        <w:t>New all-electric homes are cheaper to heat, cool and run – and can save households approximately $1,820 per year on their energy bills when combined with solar panels.</w:t>
      </w:r>
    </w:p>
    <w:p w14:paraId="12C65D4E" w14:textId="15167858" w:rsidR="00D0622D" w:rsidRPr="00D0622D" w:rsidRDefault="00D0622D" w:rsidP="00C900E4">
      <w:pPr>
        <w:pStyle w:val="BodyText"/>
      </w:pPr>
      <w:r w:rsidRPr="00D0622D">
        <w:t xml:space="preserve">New all-electric homes don’t need two separate systems for heating and cooling </w:t>
      </w:r>
      <w:r w:rsidR="00A36831">
        <w:t>–</w:t>
      </w:r>
      <w:r w:rsidRPr="00D0622D">
        <w:t xml:space="preserve"> instead using one, efficient system.</w:t>
      </w:r>
    </w:p>
    <w:p w14:paraId="5EF64589" w14:textId="7A78FECE" w:rsidR="00D0622D" w:rsidRPr="00D0622D" w:rsidRDefault="00D0622D" w:rsidP="00C900E4">
      <w:pPr>
        <w:pStyle w:val="BodyText"/>
      </w:pPr>
      <w:r w:rsidRPr="00D0622D">
        <w:t xml:space="preserve">New all-electric homes can use highly efficient heat pumps for their hot water, which are cheaper to run and can be timed to soak up solar power. And they can also use modern, induction cooktops </w:t>
      </w:r>
      <w:r w:rsidR="00A36831">
        <w:t>–</w:t>
      </w:r>
      <w:r w:rsidRPr="00D0622D">
        <w:t xml:space="preserve"> which are safer, faster and easier to clean than gas cooktops.</w:t>
      </w:r>
    </w:p>
    <w:p w14:paraId="28D68E8F" w14:textId="77777777" w:rsidR="00D0622D" w:rsidRPr="00D0622D" w:rsidRDefault="00D0622D" w:rsidP="00C900E4">
      <w:pPr>
        <w:pStyle w:val="BodyText"/>
      </w:pPr>
      <w:r w:rsidRPr="00D0622D">
        <w:t xml:space="preserve">New all-electric homes don’t need to cost any more upfront than new homes connected to mains gas and mains </w:t>
      </w:r>
      <w:proofErr w:type="gramStart"/>
      <w:r w:rsidRPr="00D0622D">
        <w:t>electricity, and</w:t>
      </w:r>
      <w:proofErr w:type="gramEnd"/>
      <w:r w:rsidRPr="00D0622D">
        <w:t xml:space="preserve"> can often cost less.</w:t>
      </w:r>
    </w:p>
    <w:p w14:paraId="4A27CC1B" w14:textId="77777777" w:rsidR="00D0622D" w:rsidRPr="00D0622D" w:rsidRDefault="00D0622D" w:rsidP="00C900E4">
      <w:pPr>
        <w:pStyle w:val="BodyText"/>
      </w:pPr>
      <w:r w:rsidRPr="00D0622D">
        <w:t>This is why the Victorian Government, as part of its Gas Substitution Roadmap, has chosen to phase out gas connections to new homes – to ensure Victorians can benefit from low cost, healthy and comfortable new homes.</w:t>
      </w:r>
    </w:p>
    <w:p w14:paraId="73CDFE93" w14:textId="77777777" w:rsidR="00D0622D" w:rsidRPr="00D0622D" w:rsidRDefault="00D0622D" w:rsidP="00C900E4">
      <w:pPr>
        <w:pStyle w:val="BodyText"/>
      </w:pPr>
      <w:r w:rsidRPr="00D0622D">
        <w:t xml:space="preserve">Building a new home is also the best time to consider higher energy efficiency for the building. Building to 7 Stars and above will further reduce heating and cooling energy use and save even more money on energy bills and emissions. </w:t>
      </w:r>
    </w:p>
    <w:p w14:paraId="40AC3447" w14:textId="77777777" w:rsidR="00D0622D" w:rsidRPr="00D0622D" w:rsidRDefault="00D0622D" w:rsidP="00C900E4">
      <w:pPr>
        <w:pStyle w:val="BodyText"/>
      </w:pPr>
      <w:r w:rsidRPr="00D0622D">
        <w:t xml:space="preserve">Victorian households </w:t>
      </w:r>
      <w:proofErr w:type="gramStart"/>
      <w:r w:rsidRPr="00D0622D">
        <w:t>are able to</w:t>
      </w:r>
      <w:proofErr w:type="gramEnd"/>
      <w:r w:rsidRPr="00D0622D">
        <w:t xml:space="preserve"> take advantage of rebates and interest free loans available through the Solar Homes Program to reduce the cost of installing solar on their </w:t>
      </w:r>
      <w:r w:rsidRPr="00D0622D">
        <w:lastRenderedPageBreak/>
        <w:t>new home. Victorians can start saving from the day they move in and can further increase their savings by consuming the energy generated by their system each day.</w:t>
      </w:r>
    </w:p>
    <w:p w14:paraId="295E70C5" w14:textId="77777777" w:rsidR="00D0622D" w:rsidRPr="00D0622D" w:rsidRDefault="00D0622D" w:rsidP="00C900E4">
      <w:pPr>
        <w:pStyle w:val="BodyText"/>
      </w:pPr>
      <w:r w:rsidRPr="00D0622D">
        <w:t xml:space="preserve">The Gas Substitution Roadmap is helping our State navigate the path to net zero emissions while cutting energy bills. </w:t>
      </w:r>
    </w:p>
    <w:p w14:paraId="226EC612" w14:textId="0BA61D2A" w:rsidR="002E7963" w:rsidRDefault="002E7963" w:rsidP="00F930C7">
      <w:pPr>
        <w:pStyle w:val="Heading2"/>
        <w:spacing w:line="360" w:lineRule="auto"/>
      </w:pPr>
      <w:r w:rsidRPr="002E7963">
        <w:t xml:space="preserve">Example: </w:t>
      </w:r>
      <w:r w:rsidRPr="00C260EA">
        <w:t>Costs of a new all-electric home (with multi-split heating/cooling) vs a new dual-fuel home</w:t>
      </w:r>
    </w:p>
    <w:p w14:paraId="35C81FD5" w14:textId="40C274C4" w:rsidR="00F930C7" w:rsidRDefault="00F930C7" w:rsidP="00F930C7">
      <w:pPr>
        <w:pStyle w:val="Heading3"/>
      </w:pPr>
      <w:r w:rsidRPr="00F930C7">
        <w:t>All-electric</w:t>
      </w:r>
      <w:r>
        <w:t>:</w:t>
      </w:r>
    </w:p>
    <w:p w14:paraId="64172ABB" w14:textId="1531E259" w:rsidR="00F930C7" w:rsidRPr="00F930C7" w:rsidRDefault="00F930C7" w:rsidP="00F930C7">
      <w:pPr>
        <w:rPr>
          <w:lang w:val="en-GB"/>
        </w:rPr>
      </w:pPr>
      <w:r>
        <w:rPr>
          <w:noProof/>
          <w:lang w:val="en-GB"/>
        </w:rPr>
        <w:drawing>
          <wp:inline distT="0" distB="0" distL="0" distR="0" wp14:anchorId="35C52DC6" wp14:editId="6222CBD9">
            <wp:extent cx="6120130" cy="3549015"/>
            <wp:effectExtent l="0" t="0" r="1270" b="0"/>
            <wp:docPr id="1683808024" name="Picture 1" descr="Illustration of an all-electric home with solar panels, multi-split heating and cooling, induction cooktop and heart pump ho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08024" name="Picture 1" descr="Illustration of an all-electric home with solar panels, multi-split heating and cooling, induction cooktop and heart pump hot water"/>
                    <pic:cNvPicPr/>
                  </pic:nvPicPr>
                  <pic:blipFill>
                    <a:blip r:embed="rId8"/>
                    <a:stretch>
                      <a:fillRect/>
                    </a:stretch>
                  </pic:blipFill>
                  <pic:spPr>
                    <a:xfrm>
                      <a:off x="0" y="0"/>
                      <a:ext cx="6120130" cy="3549015"/>
                    </a:xfrm>
                    <a:prstGeom prst="rect">
                      <a:avLst/>
                    </a:prstGeom>
                  </pic:spPr>
                </pic:pic>
              </a:graphicData>
            </a:graphic>
          </wp:inline>
        </w:drawing>
      </w:r>
    </w:p>
    <w:tbl>
      <w:tblPr>
        <w:tblStyle w:val="Style2"/>
        <w:tblW w:w="0" w:type="auto"/>
        <w:tblLook w:val="04A0" w:firstRow="1" w:lastRow="0" w:firstColumn="1" w:lastColumn="0" w:noHBand="0" w:noVBand="1"/>
      </w:tblPr>
      <w:tblGrid>
        <w:gridCol w:w="4814"/>
        <w:gridCol w:w="4814"/>
      </w:tblGrid>
      <w:tr w:rsidR="00E44E41" w14:paraId="0FF29241" w14:textId="77777777" w:rsidTr="00E44E41">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0999B96" w14:textId="7664F432" w:rsidR="00E44E41" w:rsidRPr="00B878A4" w:rsidRDefault="00E44E41" w:rsidP="00B878A4">
            <w:pPr>
              <w:pStyle w:val="TabletitleTables"/>
              <w:rPr>
                <w:b/>
                <w:bCs w:val="0"/>
                <w:lang w:val="en-GB"/>
              </w:rPr>
            </w:pPr>
            <w:r w:rsidRPr="00B878A4">
              <w:rPr>
                <w:b/>
                <w:bCs w:val="0"/>
              </w:rPr>
              <w:t>Appliance and install costs</w:t>
            </w:r>
          </w:p>
        </w:tc>
      </w:tr>
      <w:tr w:rsidR="00E44E41" w14:paraId="156BD10A" w14:textId="77777777" w:rsidTr="00E44E41">
        <w:tc>
          <w:tcPr>
            <w:tcW w:w="4814" w:type="dxa"/>
          </w:tcPr>
          <w:p w14:paraId="67E1716C" w14:textId="1C9FF92F" w:rsidR="00E44E41" w:rsidRPr="00B878A4" w:rsidRDefault="00C900E4" w:rsidP="00B878A4">
            <w:pPr>
              <w:pStyle w:val="Tabletext"/>
            </w:pPr>
            <w:r w:rsidRPr="00B878A4">
              <w:t xml:space="preserve">Heating </w:t>
            </w:r>
            <w:r>
              <w:t>and c</w:t>
            </w:r>
            <w:r w:rsidRPr="00B878A4">
              <w:t>ooling</w:t>
            </w:r>
          </w:p>
        </w:tc>
        <w:tc>
          <w:tcPr>
            <w:tcW w:w="4814" w:type="dxa"/>
          </w:tcPr>
          <w:p w14:paraId="4EC923B6" w14:textId="73E697DB" w:rsidR="00E44E41" w:rsidRPr="00B878A4" w:rsidRDefault="00E44E41" w:rsidP="00B878A4">
            <w:pPr>
              <w:pStyle w:val="Tabletext"/>
            </w:pPr>
            <w:r w:rsidRPr="00B878A4">
              <w:t>$11.6k</w:t>
            </w:r>
          </w:p>
        </w:tc>
      </w:tr>
      <w:tr w:rsidR="00E44E41" w14:paraId="249A165E" w14:textId="77777777" w:rsidTr="00E44E41">
        <w:tc>
          <w:tcPr>
            <w:tcW w:w="4814" w:type="dxa"/>
          </w:tcPr>
          <w:p w14:paraId="643F30E4" w14:textId="4FBC9561" w:rsidR="00E44E41" w:rsidRPr="00B878A4" w:rsidRDefault="00E44E41" w:rsidP="00B878A4">
            <w:pPr>
              <w:pStyle w:val="Tabletext"/>
            </w:pPr>
            <w:r w:rsidRPr="00B878A4">
              <w:t>Hot water</w:t>
            </w:r>
          </w:p>
        </w:tc>
        <w:tc>
          <w:tcPr>
            <w:tcW w:w="4814" w:type="dxa"/>
          </w:tcPr>
          <w:p w14:paraId="674386DF" w14:textId="4979D3FA" w:rsidR="00E44E41" w:rsidRPr="00B878A4" w:rsidRDefault="00E44E41" w:rsidP="00B878A4">
            <w:pPr>
              <w:pStyle w:val="Tabletext"/>
            </w:pPr>
            <w:r w:rsidRPr="00B878A4">
              <w:t>$4.2k</w:t>
            </w:r>
          </w:p>
        </w:tc>
      </w:tr>
      <w:tr w:rsidR="00E44E41" w14:paraId="4FE3C9F8" w14:textId="77777777" w:rsidTr="00E44E41">
        <w:tc>
          <w:tcPr>
            <w:tcW w:w="4814" w:type="dxa"/>
          </w:tcPr>
          <w:p w14:paraId="4658E991" w14:textId="3FF45E9F" w:rsidR="00E44E41" w:rsidRPr="00B878A4" w:rsidRDefault="00E44E41" w:rsidP="00B878A4">
            <w:pPr>
              <w:pStyle w:val="Tabletext"/>
            </w:pPr>
            <w:r w:rsidRPr="00B878A4">
              <w:t>Cooktop</w:t>
            </w:r>
          </w:p>
        </w:tc>
        <w:tc>
          <w:tcPr>
            <w:tcW w:w="4814" w:type="dxa"/>
          </w:tcPr>
          <w:p w14:paraId="5C053C36" w14:textId="7B3187F7" w:rsidR="00E44E41" w:rsidRPr="00B878A4" w:rsidRDefault="00E44E41" w:rsidP="00B878A4">
            <w:pPr>
              <w:pStyle w:val="Tabletext"/>
            </w:pPr>
            <w:r w:rsidRPr="00B878A4">
              <w:t>$2.3k</w:t>
            </w:r>
          </w:p>
        </w:tc>
      </w:tr>
      <w:tr w:rsidR="00E44E41" w14:paraId="1BDAA8C0" w14:textId="77777777" w:rsidTr="00E44E41">
        <w:tc>
          <w:tcPr>
            <w:tcW w:w="4814" w:type="dxa"/>
          </w:tcPr>
          <w:p w14:paraId="70C80D93" w14:textId="3722E287" w:rsidR="00E44E41" w:rsidRPr="00B878A4" w:rsidRDefault="00E44E41" w:rsidP="00B878A4">
            <w:pPr>
              <w:pStyle w:val="Tabletext"/>
            </w:pPr>
            <w:r w:rsidRPr="00B878A4">
              <w:lastRenderedPageBreak/>
              <w:t>Additional wiring</w:t>
            </w:r>
          </w:p>
        </w:tc>
        <w:tc>
          <w:tcPr>
            <w:tcW w:w="4814" w:type="dxa"/>
          </w:tcPr>
          <w:p w14:paraId="45BDC27A" w14:textId="584FC01F" w:rsidR="00E44E41" w:rsidRPr="00B878A4" w:rsidRDefault="00E44E41" w:rsidP="00B878A4">
            <w:pPr>
              <w:pStyle w:val="Tabletext"/>
            </w:pPr>
            <w:r w:rsidRPr="00B878A4">
              <w:t>$0.9k</w:t>
            </w:r>
          </w:p>
        </w:tc>
      </w:tr>
      <w:tr w:rsidR="00E44E41" w14:paraId="7751F276" w14:textId="77777777" w:rsidTr="00E44E41">
        <w:tc>
          <w:tcPr>
            <w:tcW w:w="4814" w:type="dxa"/>
          </w:tcPr>
          <w:p w14:paraId="2E888CD7" w14:textId="142A0DD1" w:rsidR="00E44E41" w:rsidRPr="00B878A4" w:rsidRDefault="00E44E41" w:rsidP="00B878A4">
            <w:pPr>
              <w:pStyle w:val="Tabletext"/>
              <w:rPr>
                <w:b/>
                <w:bCs/>
              </w:rPr>
            </w:pPr>
            <w:r w:rsidRPr="00B878A4">
              <w:rPr>
                <w:b/>
                <w:bCs/>
              </w:rPr>
              <w:t>Total (appliance + installation)</w:t>
            </w:r>
          </w:p>
        </w:tc>
        <w:tc>
          <w:tcPr>
            <w:tcW w:w="4814" w:type="dxa"/>
          </w:tcPr>
          <w:p w14:paraId="478FEBB2" w14:textId="47C22C86" w:rsidR="00E44E41" w:rsidRPr="00B878A4" w:rsidRDefault="00E44E41" w:rsidP="00B878A4">
            <w:pPr>
              <w:pStyle w:val="Tabletext"/>
              <w:rPr>
                <w:b/>
                <w:bCs/>
              </w:rPr>
            </w:pPr>
            <w:r w:rsidRPr="00B878A4">
              <w:rPr>
                <w:b/>
                <w:bCs/>
              </w:rPr>
              <w:t>$19k</w:t>
            </w:r>
          </w:p>
        </w:tc>
      </w:tr>
    </w:tbl>
    <w:p w14:paraId="1AAAC322" w14:textId="77777777" w:rsidR="00E44E41" w:rsidRDefault="00E44E41" w:rsidP="00E44E41">
      <w:pPr>
        <w:rPr>
          <w:lang w:val="en-GB"/>
        </w:rPr>
      </w:pPr>
    </w:p>
    <w:tbl>
      <w:tblPr>
        <w:tblStyle w:val="Style2"/>
        <w:tblW w:w="0" w:type="auto"/>
        <w:tblLook w:val="04A0" w:firstRow="1" w:lastRow="0" w:firstColumn="1" w:lastColumn="0" w:noHBand="0" w:noVBand="1"/>
      </w:tblPr>
      <w:tblGrid>
        <w:gridCol w:w="4814"/>
        <w:gridCol w:w="4814"/>
      </w:tblGrid>
      <w:tr w:rsidR="00E44E41" w14:paraId="5F695BED" w14:textId="77777777" w:rsidTr="007A643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415BE1D" w14:textId="77777777" w:rsidR="00E44E41" w:rsidRPr="00B878A4" w:rsidRDefault="00E44E41" w:rsidP="00B878A4">
            <w:pPr>
              <w:pStyle w:val="TabletitleTables"/>
              <w:rPr>
                <w:b/>
                <w:bCs w:val="0"/>
              </w:rPr>
            </w:pPr>
            <w:r w:rsidRPr="00B878A4">
              <w:rPr>
                <w:b/>
                <w:bCs w:val="0"/>
              </w:rPr>
              <w:t>Bill savings</w:t>
            </w:r>
            <w:r w:rsidR="00B878A4" w:rsidRPr="00B878A4">
              <w:rPr>
                <w:b/>
                <w:bCs w:val="0"/>
              </w:rPr>
              <w:t xml:space="preserve"> (Average annual savings, 2024 dollars)</w:t>
            </w:r>
          </w:p>
          <w:p w14:paraId="0ED012AE" w14:textId="5E4A1623" w:rsidR="00B878A4" w:rsidRPr="00B878A4" w:rsidRDefault="00B878A4" w:rsidP="00B878A4">
            <w:pPr>
              <w:pStyle w:val="FootnoteText"/>
              <w:rPr>
                <w:sz w:val="24"/>
                <w:szCs w:val="24"/>
                <w:lang w:val="en-US"/>
              </w:rPr>
            </w:pPr>
          </w:p>
        </w:tc>
      </w:tr>
      <w:tr w:rsidR="00E44E41" w14:paraId="2A0C4D74" w14:textId="77777777" w:rsidTr="007A643C">
        <w:tc>
          <w:tcPr>
            <w:tcW w:w="4814" w:type="dxa"/>
          </w:tcPr>
          <w:p w14:paraId="67F86E35" w14:textId="1E543446" w:rsidR="00E44E41" w:rsidRPr="00B878A4" w:rsidRDefault="00C900E4" w:rsidP="00B878A4">
            <w:pPr>
              <w:pStyle w:val="Tabletext"/>
            </w:pPr>
            <w:r w:rsidRPr="00B878A4">
              <w:t xml:space="preserve">Heating </w:t>
            </w:r>
            <w:r>
              <w:t>and c</w:t>
            </w:r>
            <w:r w:rsidR="00E44E41" w:rsidRPr="00B878A4">
              <w:t>ooling</w:t>
            </w:r>
          </w:p>
        </w:tc>
        <w:tc>
          <w:tcPr>
            <w:tcW w:w="4814" w:type="dxa"/>
          </w:tcPr>
          <w:p w14:paraId="40A8E2A9" w14:textId="00EA4269" w:rsidR="00E44E41" w:rsidRPr="00B878A4" w:rsidRDefault="00E44E41" w:rsidP="00B878A4">
            <w:pPr>
              <w:pStyle w:val="Tabletext"/>
            </w:pPr>
            <w:r w:rsidRPr="00B878A4">
              <w:t>$370 saving</w:t>
            </w:r>
          </w:p>
        </w:tc>
      </w:tr>
      <w:tr w:rsidR="00E44E41" w14:paraId="5843809A" w14:textId="77777777" w:rsidTr="007A643C">
        <w:tc>
          <w:tcPr>
            <w:tcW w:w="4814" w:type="dxa"/>
          </w:tcPr>
          <w:p w14:paraId="35042FBC" w14:textId="77777777" w:rsidR="00E44E41" w:rsidRPr="00B878A4" w:rsidRDefault="00E44E41" w:rsidP="00B878A4">
            <w:pPr>
              <w:pStyle w:val="Tabletext"/>
            </w:pPr>
            <w:r w:rsidRPr="00B878A4">
              <w:t>Hot water</w:t>
            </w:r>
          </w:p>
        </w:tc>
        <w:tc>
          <w:tcPr>
            <w:tcW w:w="4814" w:type="dxa"/>
          </w:tcPr>
          <w:p w14:paraId="7CA81BE8" w14:textId="13DCA4F4" w:rsidR="00E44E41" w:rsidRPr="00B878A4" w:rsidRDefault="00E44E41" w:rsidP="00B878A4">
            <w:pPr>
              <w:pStyle w:val="Tabletext"/>
            </w:pPr>
            <w:r w:rsidRPr="00B878A4">
              <w:t>$160 saving</w:t>
            </w:r>
          </w:p>
        </w:tc>
      </w:tr>
      <w:tr w:rsidR="00E44E41" w14:paraId="691373D0" w14:textId="77777777" w:rsidTr="007A643C">
        <w:tc>
          <w:tcPr>
            <w:tcW w:w="4814" w:type="dxa"/>
          </w:tcPr>
          <w:p w14:paraId="30A96E63" w14:textId="50EC08E3" w:rsidR="00E44E41" w:rsidRPr="00B878A4" w:rsidRDefault="00E44E41" w:rsidP="00B878A4">
            <w:pPr>
              <w:pStyle w:val="Tabletext"/>
            </w:pPr>
            <w:r w:rsidRPr="00B878A4">
              <w:t>Cooktop (inc. fixed charge)</w:t>
            </w:r>
          </w:p>
        </w:tc>
        <w:tc>
          <w:tcPr>
            <w:tcW w:w="4814" w:type="dxa"/>
          </w:tcPr>
          <w:p w14:paraId="6EFC88A7" w14:textId="13340E5D" w:rsidR="00E44E41" w:rsidRPr="00B878A4" w:rsidRDefault="00E44E41" w:rsidP="00B878A4">
            <w:pPr>
              <w:pStyle w:val="Tabletext"/>
            </w:pPr>
            <w:r w:rsidRPr="00B878A4">
              <w:t>$350 saving</w:t>
            </w:r>
          </w:p>
        </w:tc>
      </w:tr>
      <w:tr w:rsidR="00E44E41" w14:paraId="2FECB53B" w14:textId="77777777" w:rsidTr="007A643C">
        <w:tc>
          <w:tcPr>
            <w:tcW w:w="4814" w:type="dxa"/>
          </w:tcPr>
          <w:p w14:paraId="2A4EEA3A" w14:textId="79BC6FA2" w:rsidR="00E44E41" w:rsidRPr="00B878A4" w:rsidRDefault="00E44E41" w:rsidP="00B878A4">
            <w:pPr>
              <w:pStyle w:val="Tabletext"/>
              <w:rPr>
                <w:b/>
                <w:bCs/>
              </w:rPr>
            </w:pPr>
            <w:r w:rsidRPr="00B878A4">
              <w:rPr>
                <w:b/>
                <w:bCs/>
              </w:rPr>
              <w:t>Total savings</w:t>
            </w:r>
          </w:p>
        </w:tc>
        <w:tc>
          <w:tcPr>
            <w:tcW w:w="4814" w:type="dxa"/>
          </w:tcPr>
          <w:p w14:paraId="307C699F" w14:textId="57A082A4" w:rsidR="00E44E41" w:rsidRPr="00B878A4" w:rsidRDefault="00E44E41" w:rsidP="00B878A4">
            <w:pPr>
              <w:pStyle w:val="Tabletext"/>
              <w:rPr>
                <w:b/>
                <w:bCs/>
              </w:rPr>
            </w:pPr>
            <w:r w:rsidRPr="00B878A4">
              <w:rPr>
                <w:b/>
                <w:bCs/>
              </w:rPr>
              <w:t>$880 saving</w:t>
            </w:r>
          </w:p>
        </w:tc>
      </w:tr>
      <w:tr w:rsidR="00E44E41" w14:paraId="0A68D921" w14:textId="77777777" w:rsidTr="007A643C">
        <w:tc>
          <w:tcPr>
            <w:tcW w:w="4814" w:type="dxa"/>
          </w:tcPr>
          <w:p w14:paraId="26F16251" w14:textId="188534EE" w:rsidR="00E44E41" w:rsidRPr="00B878A4" w:rsidRDefault="00E44E41" w:rsidP="00B878A4">
            <w:pPr>
              <w:pStyle w:val="Tabletext"/>
              <w:rPr>
                <w:b/>
                <w:bCs/>
              </w:rPr>
            </w:pPr>
            <w:r w:rsidRPr="00B878A4">
              <w:rPr>
                <w:b/>
                <w:bCs/>
              </w:rPr>
              <w:t>Annual energy bill</w:t>
            </w:r>
          </w:p>
        </w:tc>
        <w:tc>
          <w:tcPr>
            <w:tcW w:w="4814" w:type="dxa"/>
          </w:tcPr>
          <w:p w14:paraId="155574A7" w14:textId="2BBB7108" w:rsidR="00E44E41" w:rsidRPr="00B878A4" w:rsidRDefault="00E44E41" w:rsidP="00B878A4">
            <w:pPr>
              <w:pStyle w:val="Tabletext"/>
              <w:rPr>
                <w:b/>
                <w:bCs/>
              </w:rPr>
            </w:pPr>
            <w:r w:rsidRPr="00B878A4">
              <w:rPr>
                <w:b/>
                <w:bCs/>
              </w:rPr>
              <w:t>$2,070</w:t>
            </w:r>
          </w:p>
        </w:tc>
      </w:tr>
    </w:tbl>
    <w:p w14:paraId="145E6473" w14:textId="77777777" w:rsidR="00E44E41" w:rsidRDefault="00E44E41" w:rsidP="00E44E41">
      <w:pPr>
        <w:rPr>
          <w:lang w:val="en-GB"/>
        </w:rPr>
      </w:pPr>
    </w:p>
    <w:tbl>
      <w:tblPr>
        <w:tblStyle w:val="Style2"/>
        <w:tblW w:w="0" w:type="auto"/>
        <w:tblLook w:val="04A0" w:firstRow="1" w:lastRow="0" w:firstColumn="1" w:lastColumn="0" w:noHBand="0" w:noVBand="1"/>
      </w:tblPr>
      <w:tblGrid>
        <w:gridCol w:w="4814"/>
        <w:gridCol w:w="4814"/>
      </w:tblGrid>
      <w:tr w:rsidR="00B878A4" w14:paraId="47E744C5" w14:textId="77777777" w:rsidTr="007A643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A02C90A" w14:textId="667FA019" w:rsidR="00B878A4" w:rsidRPr="00C900E4" w:rsidRDefault="00B878A4" w:rsidP="00C900E4">
            <w:pPr>
              <w:pStyle w:val="TabletitleTables"/>
              <w:rPr>
                <w:b/>
                <w:bCs w:val="0"/>
                <w:lang w:val="en-GB"/>
              </w:rPr>
            </w:pPr>
            <w:r w:rsidRPr="00C900E4">
              <w:rPr>
                <w:b/>
                <w:bCs w:val="0"/>
              </w:rPr>
              <w:t>Solar</w:t>
            </w:r>
          </w:p>
        </w:tc>
      </w:tr>
      <w:tr w:rsidR="00B878A4" w14:paraId="1DFC266B" w14:textId="77777777" w:rsidTr="007A643C">
        <w:tc>
          <w:tcPr>
            <w:tcW w:w="4814" w:type="dxa"/>
          </w:tcPr>
          <w:p w14:paraId="0E4625FE" w14:textId="34C182E7" w:rsidR="00B878A4" w:rsidRPr="00B878A4" w:rsidRDefault="00B878A4" w:rsidP="00B878A4">
            <w:pPr>
              <w:pStyle w:val="Tabletext"/>
            </w:pPr>
            <w:r w:rsidRPr="00B878A4">
              <w:t>Solar installation cost (6.6 kW)</w:t>
            </w:r>
          </w:p>
        </w:tc>
        <w:tc>
          <w:tcPr>
            <w:tcW w:w="4814" w:type="dxa"/>
          </w:tcPr>
          <w:p w14:paraId="446B56C2" w14:textId="77777777" w:rsidR="00B878A4" w:rsidRPr="00B878A4" w:rsidRDefault="00B878A4" w:rsidP="00B878A4">
            <w:pPr>
              <w:pStyle w:val="Tabletext"/>
            </w:pPr>
            <w:r w:rsidRPr="00B878A4">
              <w:t>$3,860**</w:t>
            </w:r>
          </w:p>
          <w:p w14:paraId="54A434A6" w14:textId="77777777" w:rsidR="00B878A4" w:rsidRDefault="00B878A4" w:rsidP="00B878A4">
            <w:pPr>
              <w:pStyle w:val="FootnoteText"/>
            </w:pPr>
            <w:r w:rsidRPr="00B878A4">
              <w:t>**Solar installation cost includes small-scale technology certificates (STCs) and Solar Homes rebate</w:t>
            </w:r>
          </w:p>
          <w:p w14:paraId="342C2E62" w14:textId="54792794" w:rsidR="00B878A4" w:rsidRPr="00B878A4" w:rsidRDefault="00B878A4" w:rsidP="00B878A4">
            <w:pPr>
              <w:pStyle w:val="FootnoteText"/>
            </w:pPr>
          </w:p>
        </w:tc>
      </w:tr>
      <w:tr w:rsidR="00B878A4" w14:paraId="463D1D28" w14:textId="77777777" w:rsidTr="007A643C">
        <w:tc>
          <w:tcPr>
            <w:tcW w:w="4814" w:type="dxa"/>
          </w:tcPr>
          <w:p w14:paraId="6D5A8EEA" w14:textId="179D5EEC" w:rsidR="00B878A4" w:rsidRPr="00B878A4" w:rsidRDefault="00B878A4" w:rsidP="00B878A4">
            <w:pPr>
              <w:pStyle w:val="Tabletext"/>
            </w:pPr>
            <w:r w:rsidRPr="00B878A4">
              <w:t>Solar saving</w:t>
            </w:r>
          </w:p>
        </w:tc>
        <w:tc>
          <w:tcPr>
            <w:tcW w:w="4814" w:type="dxa"/>
          </w:tcPr>
          <w:p w14:paraId="4629A21D" w14:textId="5CE33D55" w:rsidR="00B878A4" w:rsidRPr="00B878A4" w:rsidRDefault="00B878A4" w:rsidP="00B878A4">
            <w:pPr>
              <w:pStyle w:val="Tabletext"/>
            </w:pPr>
            <w:r w:rsidRPr="00B878A4">
              <w:t>$940 saving</w:t>
            </w:r>
          </w:p>
        </w:tc>
      </w:tr>
      <w:tr w:rsidR="00B878A4" w14:paraId="41E24017" w14:textId="77777777" w:rsidTr="007A643C">
        <w:tc>
          <w:tcPr>
            <w:tcW w:w="4814" w:type="dxa"/>
          </w:tcPr>
          <w:p w14:paraId="10E27BBB" w14:textId="500AD4FA" w:rsidR="00B878A4" w:rsidRPr="00B878A4" w:rsidRDefault="00B878A4" w:rsidP="00B878A4">
            <w:pPr>
              <w:pStyle w:val="Tabletext"/>
              <w:rPr>
                <w:b/>
                <w:bCs/>
              </w:rPr>
            </w:pPr>
            <w:r w:rsidRPr="00B878A4">
              <w:rPr>
                <w:b/>
                <w:bCs/>
              </w:rPr>
              <w:t>Annual energy bill (with solar)</w:t>
            </w:r>
          </w:p>
        </w:tc>
        <w:tc>
          <w:tcPr>
            <w:tcW w:w="4814" w:type="dxa"/>
          </w:tcPr>
          <w:p w14:paraId="5BB174FF" w14:textId="05D93647" w:rsidR="00B878A4" w:rsidRPr="00B878A4" w:rsidRDefault="00B878A4" w:rsidP="00B878A4">
            <w:pPr>
              <w:pStyle w:val="Tabletext"/>
              <w:rPr>
                <w:b/>
                <w:bCs/>
              </w:rPr>
            </w:pPr>
            <w:r w:rsidRPr="00B878A4">
              <w:rPr>
                <w:b/>
                <w:bCs/>
              </w:rPr>
              <w:t>$1,130</w:t>
            </w:r>
          </w:p>
        </w:tc>
      </w:tr>
    </w:tbl>
    <w:p w14:paraId="3B6AE496" w14:textId="77777777" w:rsidR="00E44E41" w:rsidRDefault="00E44E41" w:rsidP="00E44E41">
      <w:pPr>
        <w:rPr>
          <w:lang w:val="en-GB"/>
        </w:rPr>
      </w:pPr>
    </w:p>
    <w:p w14:paraId="4BF41CF1" w14:textId="77777777" w:rsidR="00C260EA" w:rsidRDefault="00C260EA" w:rsidP="00C260EA">
      <w:pPr>
        <w:pStyle w:val="Heading3"/>
      </w:pPr>
      <w:proofErr w:type="gramStart"/>
      <w:r w:rsidRPr="00C260EA">
        <w:lastRenderedPageBreak/>
        <w:t>Dual-fuel</w:t>
      </w:r>
      <w:proofErr w:type="gramEnd"/>
      <w:r w:rsidRPr="00C260EA">
        <w:t>:</w:t>
      </w:r>
    </w:p>
    <w:p w14:paraId="6D18CF5D" w14:textId="5BA6ADF8" w:rsidR="00D7712C" w:rsidRPr="00D7712C" w:rsidRDefault="00D7712C" w:rsidP="00D7712C">
      <w:pPr>
        <w:rPr>
          <w:lang w:val="en-GB"/>
        </w:rPr>
      </w:pPr>
      <w:r>
        <w:rPr>
          <w:noProof/>
          <w:lang w:val="en-GB"/>
        </w:rPr>
        <w:drawing>
          <wp:inline distT="0" distB="0" distL="0" distR="0" wp14:anchorId="246CEB05" wp14:editId="0768A931">
            <wp:extent cx="6120130" cy="3549015"/>
            <wp:effectExtent l="0" t="0" r="1270" b="0"/>
            <wp:docPr id="1206036347" name="Picture 2" descr="Illustration of a duel-fuel house with gas cooktop, evaporative cooling, gas instant hot water and gas ducted 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36347" name="Picture 2" descr="Illustration of a duel-fuel house with gas cooktop, evaporative cooling, gas instant hot water and gas ducted heating."/>
                    <pic:cNvPicPr/>
                  </pic:nvPicPr>
                  <pic:blipFill>
                    <a:blip r:embed="rId9"/>
                    <a:stretch>
                      <a:fillRect/>
                    </a:stretch>
                  </pic:blipFill>
                  <pic:spPr>
                    <a:xfrm>
                      <a:off x="0" y="0"/>
                      <a:ext cx="6120130" cy="3549015"/>
                    </a:xfrm>
                    <a:prstGeom prst="rect">
                      <a:avLst/>
                    </a:prstGeom>
                  </pic:spPr>
                </pic:pic>
              </a:graphicData>
            </a:graphic>
          </wp:inline>
        </w:drawing>
      </w:r>
    </w:p>
    <w:tbl>
      <w:tblPr>
        <w:tblStyle w:val="Style2"/>
        <w:tblW w:w="0" w:type="auto"/>
        <w:tblLook w:val="04A0" w:firstRow="1" w:lastRow="0" w:firstColumn="1" w:lastColumn="0" w:noHBand="0" w:noVBand="1"/>
      </w:tblPr>
      <w:tblGrid>
        <w:gridCol w:w="4814"/>
        <w:gridCol w:w="4814"/>
      </w:tblGrid>
      <w:tr w:rsidR="00F930C7" w14:paraId="53DB5B46" w14:textId="77777777" w:rsidTr="007A643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5A3B172" w14:textId="77777777" w:rsidR="00F930C7" w:rsidRPr="00B878A4" w:rsidRDefault="00F930C7" w:rsidP="007A643C">
            <w:pPr>
              <w:pStyle w:val="TabletitleTables"/>
              <w:rPr>
                <w:b/>
                <w:bCs w:val="0"/>
                <w:lang w:val="en-GB"/>
              </w:rPr>
            </w:pPr>
            <w:r w:rsidRPr="00B878A4">
              <w:rPr>
                <w:b/>
                <w:bCs w:val="0"/>
              </w:rPr>
              <w:t>Appliance and install costs</w:t>
            </w:r>
          </w:p>
        </w:tc>
      </w:tr>
      <w:tr w:rsidR="00F930C7" w14:paraId="4B84E4D1" w14:textId="77777777" w:rsidTr="007A643C">
        <w:tc>
          <w:tcPr>
            <w:tcW w:w="4814" w:type="dxa"/>
          </w:tcPr>
          <w:p w14:paraId="214965BF" w14:textId="77777777" w:rsidR="00F930C7" w:rsidRPr="00B878A4" w:rsidRDefault="00F930C7" w:rsidP="007A643C">
            <w:pPr>
              <w:pStyle w:val="Tabletext"/>
            </w:pPr>
            <w:r w:rsidRPr="00B878A4">
              <w:t>Cooling / Heating</w:t>
            </w:r>
          </w:p>
        </w:tc>
        <w:tc>
          <w:tcPr>
            <w:tcW w:w="4814" w:type="dxa"/>
          </w:tcPr>
          <w:p w14:paraId="17D117A5" w14:textId="324D7111" w:rsidR="00F930C7" w:rsidRPr="00B878A4" w:rsidRDefault="00F930C7" w:rsidP="007A643C">
            <w:pPr>
              <w:pStyle w:val="Tabletext"/>
            </w:pPr>
            <w:r w:rsidRPr="00B878A4">
              <w:t>$11.</w:t>
            </w:r>
            <w:r>
              <w:t>4</w:t>
            </w:r>
            <w:r w:rsidRPr="00B878A4">
              <w:t>k</w:t>
            </w:r>
          </w:p>
        </w:tc>
      </w:tr>
      <w:tr w:rsidR="00F930C7" w14:paraId="22847A8A" w14:textId="77777777" w:rsidTr="007A643C">
        <w:tc>
          <w:tcPr>
            <w:tcW w:w="4814" w:type="dxa"/>
          </w:tcPr>
          <w:p w14:paraId="444AF187" w14:textId="77777777" w:rsidR="00F930C7" w:rsidRPr="00B878A4" w:rsidRDefault="00F930C7" w:rsidP="007A643C">
            <w:pPr>
              <w:pStyle w:val="Tabletext"/>
            </w:pPr>
            <w:r w:rsidRPr="00B878A4">
              <w:t>Hot water</w:t>
            </w:r>
          </w:p>
        </w:tc>
        <w:tc>
          <w:tcPr>
            <w:tcW w:w="4814" w:type="dxa"/>
          </w:tcPr>
          <w:p w14:paraId="0A20AC73" w14:textId="554BEFE3" w:rsidR="00F930C7" w:rsidRPr="00B878A4" w:rsidRDefault="00F930C7" w:rsidP="007A643C">
            <w:pPr>
              <w:pStyle w:val="Tabletext"/>
            </w:pPr>
            <w:r w:rsidRPr="00B878A4">
              <w:t>$</w:t>
            </w:r>
            <w:r>
              <w:t>2.7k</w:t>
            </w:r>
          </w:p>
        </w:tc>
      </w:tr>
      <w:tr w:rsidR="00F930C7" w14:paraId="09F1053D" w14:textId="77777777" w:rsidTr="007A643C">
        <w:tc>
          <w:tcPr>
            <w:tcW w:w="4814" w:type="dxa"/>
          </w:tcPr>
          <w:p w14:paraId="4F5DD3E7" w14:textId="77777777" w:rsidR="00F930C7" w:rsidRPr="00B878A4" w:rsidRDefault="00F930C7" w:rsidP="007A643C">
            <w:pPr>
              <w:pStyle w:val="Tabletext"/>
            </w:pPr>
            <w:r w:rsidRPr="00B878A4">
              <w:t>Cooktop</w:t>
            </w:r>
          </w:p>
        </w:tc>
        <w:tc>
          <w:tcPr>
            <w:tcW w:w="4814" w:type="dxa"/>
          </w:tcPr>
          <w:p w14:paraId="5D97219A" w14:textId="64A5CCFE" w:rsidR="00F930C7" w:rsidRPr="00B878A4" w:rsidRDefault="00F930C7" w:rsidP="007A643C">
            <w:pPr>
              <w:pStyle w:val="Tabletext"/>
            </w:pPr>
            <w:r w:rsidRPr="00B878A4">
              <w:t>$</w:t>
            </w:r>
            <w:r>
              <w:t>1.9</w:t>
            </w:r>
            <w:r w:rsidRPr="00B878A4">
              <w:t>k</w:t>
            </w:r>
          </w:p>
        </w:tc>
      </w:tr>
      <w:tr w:rsidR="00F930C7" w14:paraId="3B34711A" w14:textId="77777777" w:rsidTr="007A643C">
        <w:tc>
          <w:tcPr>
            <w:tcW w:w="4814" w:type="dxa"/>
          </w:tcPr>
          <w:p w14:paraId="7E62A509" w14:textId="47429D1B" w:rsidR="00F930C7" w:rsidRPr="00B878A4" w:rsidRDefault="00F930C7" w:rsidP="007A643C">
            <w:pPr>
              <w:pStyle w:val="Tabletext"/>
            </w:pPr>
            <w:r w:rsidRPr="00F930C7">
              <w:rPr>
                <w:lang w:val="en-US"/>
              </w:rPr>
              <w:t>Gas pipework installation cost</w:t>
            </w:r>
          </w:p>
        </w:tc>
        <w:tc>
          <w:tcPr>
            <w:tcW w:w="4814" w:type="dxa"/>
          </w:tcPr>
          <w:p w14:paraId="29624D19" w14:textId="277A8586" w:rsidR="00F930C7" w:rsidRPr="00B878A4" w:rsidRDefault="00F930C7" w:rsidP="007A643C">
            <w:pPr>
              <w:pStyle w:val="Tabletext"/>
            </w:pPr>
            <w:r w:rsidRPr="00F930C7">
              <w:rPr>
                <w:lang w:val="en-US"/>
              </w:rPr>
              <w:t>$1.3k to $5k</w:t>
            </w:r>
          </w:p>
        </w:tc>
      </w:tr>
      <w:tr w:rsidR="00F930C7" w14:paraId="41273C66" w14:textId="77777777" w:rsidTr="007A643C">
        <w:tc>
          <w:tcPr>
            <w:tcW w:w="4814" w:type="dxa"/>
          </w:tcPr>
          <w:p w14:paraId="65E3D50D" w14:textId="31B2861A" w:rsidR="00F930C7" w:rsidRPr="00B878A4" w:rsidRDefault="00F930C7" w:rsidP="007A643C">
            <w:pPr>
              <w:pStyle w:val="Tabletext"/>
              <w:rPr>
                <w:b/>
                <w:bCs/>
              </w:rPr>
            </w:pPr>
            <w:r w:rsidRPr="00F930C7">
              <w:rPr>
                <w:b/>
                <w:bCs/>
                <w:lang w:val="en-US"/>
              </w:rPr>
              <w:t>Total (appliance + installation) </w:t>
            </w:r>
          </w:p>
        </w:tc>
        <w:tc>
          <w:tcPr>
            <w:tcW w:w="4814" w:type="dxa"/>
          </w:tcPr>
          <w:p w14:paraId="70712F0F" w14:textId="0D1E3202" w:rsidR="00F930C7" w:rsidRPr="00B878A4" w:rsidRDefault="00F930C7" w:rsidP="007A643C">
            <w:pPr>
              <w:pStyle w:val="Tabletext"/>
              <w:rPr>
                <w:b/>
                <w:bCs/>
              </w:rPr>
            </w:pPr>
            <w:r w:rsidRPr="00F930C7">
              <w:rPr>
                <w:b/>
                <w:bCs/>
                <w:lang w:val="en-US"/>
              </w:rPr>
              <w:t>$17.3k to $21k</w:t>
            </w:r>
          </w:p>
        </w:tc>
      </w:tr>
    </w:tbl>
    <w:p w14:paraId="31675E91" w14:textId="77777777" w:rsidR="00F930C7" w:rsidRDefault="00F930C7" w:rsidP="00F930C7">
      <w:pPr>
        <w:rPr>
          <w:lang w:val="en-GB"/>
        </w:rPr>
      </w:pPr>
    </w:p>
    <w:tbl>
      <w:tblPr>
        <w:tblStyle w:val="Style2"/>
        <w:tblW w:w="0" w:type="auto"/>
        <w:tblLook w:val="04A0" w:firstRow="1" w:lastRow="0" w:firstColumn="1" w:lastColumn="0" w:noHBand="0" w:noVBand="1"/>
      </w:tblPr>
      <w:tblGrid>
        <w:gridCol w:w="4814"/>
        <w:gridCol w:w="4814"/>
      </w:tblGrid>
      <w:tr w:rsidR="00F930C7" w14:paraId="09B14D12" w14:textId="77777777" w:rsidTr="007A643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10C98D1" w14:textId="38A2F17B" w:rsidR="00F930C7" w:rsidRPr="00B878A4" w:rsidRDefault="00F930C7" w:rsidP="007A643C">
            <w:pPr>
              <w:pStyle w:val="TabletitleTables"/>
              <w:rPr>
                <w:b/>
                <w:bCs w:val="0"/>
              </w:rPr>
            </w:pPr>
            <w:r w:rsidRPr="00B878A4">
              <w:rPr>
                <w:b/>
                <w:bCs w:val="0"/>
              </w:rPr>
              <w:t xml:space="preserve">Bill </w:t>
            </w:r>
            <w:r>
              <w:rPr>
                <w:b/>
                <w:bCs w:val="0"/>
              </w:rPr>
              <w:t>costs</w:t>
            </w:r>
          </w:p>
          <w:p w14:paraId="5B4F3BAD" w14:textId="77777777" w:rsidR="00F930C7" w:rsidRPr="00B878A4" w:rsidRDefault="00F930C7" w:rsidP="007A643C">
            <w:pPr>
              <w:pStyle w:val="FootnoteText"/>
              <w:rPr>
                <w:sz w:val="24"/>
                <w:szCs w:val="24"/>
                <w:lang w:val="en-US"/>
              </w:rPr>
            </w:pPr>
          </w:p>
        </w:tc>
      </w:tr>
      <w:tr w:rsidR="00F930C7" w14:paraId="65BBD092" w14:textId="77777777" w:rsidTr="007A643C">
        <w:tc>
          <w:tcPr>
            <w:tcW w:w="4814" w:type="dxa"/>
          </w:tcPr>
          <w:p w14:paraId="71E655B9" w14:textId="087E26F1" w:rsidR="00F930C7" w:rsidRPr="00B878A4" w:rsidRDefault="00F930C7" w:rsidP="007A643C">
            <w:pPr>
              <w:pStyle w:val="Tabletext"/>
            </w:pPr>
            <w:r w:rsidRPr="00F930C7">
              <w:rPr>
                <w:lang w:val="en-US"/>
              </w:rPr>
              <w:t>Electricity bill</w:t>
            </w:r>
          </w:p>
        </w:tc>
        <w:tc>
          <w:tcPr>
            <w:tcW w:w="4814" w:type="dxa"/>
          </w:tcPr>
          <w:p w14:paraId="2C737E2A" w14:textId="6B7D0BF0" w:rsidR="00F930C7" w:rsidRPr="00B878A4" w:rsidRDefault="00F930C7" w:rsidP="007A643C">
            <w:pPr>
              <w:pStyle w:val="Tabletext"/>
            </w:pPr>
            <w:r w:rsidRPr="00F930C7">
              <w:rPr>
                <w:lang w:val="en-US"/>
              </w:rPr>
              <w:t>$1,520</w:t>
            </w:r>
          </w:p>
        </w:tc>
      </w:tr>
      <w:tr w:rsidR="00F930C7" w14:paraId="04987363" w14:textId="77777777" w:rsidTr="007A643C">
        <w:tc>
          <w:tcPr>
            <w:tcW w:w="4814" w:type="dxa"/>
          </w:tcPr>
          <w:p w14:paraId="713D5D88" w14:textId="6967EBEF" w:rsidR="00F930C7" w:rsidRPr="00B878A4" w:rsidRDefault="00F930C7" w:rsidP="007A643C">
            <w:pPr>
              <w:pStyle w:val="Tabletext"/>
            </w:pPr>
            <w:r w:rsidRPr="00F930C7">
              <w:rPr>
                <w:lang w:val="en-US"/>
              </w:rPr>
              <w:t>Gas bill</w:t>
            </w:r>
          </w:p>
        </w:tc>
        <w:tc>
          <w:tcPr>
            <w:tcW w:w="4814" w:type="dxa"/>
          </w:tcPr>
          <w:p w14:paraId="5A3A2B35" w14:textId="47DD4E56" w:rsidR="00F930C7" w:rsidRPr="00B878A4" w:rsidRDefault="00F930C7" w:rsidP="007A643C">
            <w:pPr>
              <w:pStyle w:val="Tabletext"/>
            </w:pPr>
            <w:r w:rsidRPr="00F930C7">
              <w:rPr>
                <w:lang w:val="en-US"/>
              </w:rPr>
              <w:t>$1,430</w:t>
            </w:r>
          </w:p>
        </w:tc>
      </w:tr>
      <w:tr w:rsidR="00F930C7" w14:paraId="393603D5" w14:textId="77777777" w:rsidTr="007A643C">
        <w:tc>
          <w:tcPr>
            <w:tcW w:w="4814" w:type="dxa"/>
          </w:tcPr>
          <w:p w14:paraId="4139E825" w14:textId="7E29A6E7" w:rsidR="00F930C7" w:rsidRPr="00B878A4" w:rsidRDefault="00F930C7" w:rsidP="007A643C">
            <w:pPr>
              <w:pStyle w:val="Tabletext"/>
              <w:rPr>
                <w:b/>
                <w:bCs/>
              </w:rPr>
            </w:pPr>
            <w:r w:rsidRPr="00F930C7">
              <w:rPr>
                <w:b/>
                <w:bCs/>
                <w:lang w:val="en-US"/>
              </w:rPr>
              <w:t>Annual energy bill</w:t>
            </w:r>
          </w:p>
        </w:tc>
        <w:tc>
          <w:tcPr>
            <w:tcW w:w="4814" w:type="dxa"/>
          </w:tcPr>
          <w:p w14:paraId="658BA496" w14:textId="72909DC1" w:rsidR="00F930C7" w:rsidRPr="00B878A4" w:rsidRDefault="00F930C7" w:rsidP="007A643C">
            <w:pPr>
              <w:pStyle w:val="Tabletext"/>
              <w:rPr>
                <w:b/>
                <w:bCs/>
              </w:rPr>
            </w:pPr>
            <w:r w:rsidRPr="00F930C7">
              <w:rPr>
                <w:b/>
                <w:bCs/>
                <w:lang w:val="en-US"/>
              </w:rPr>
              <w:t>$2,950</w:t>
            </w:r>
          </w:p>
        </w:tc>
      </w:tr>
    </w:tbl>
    <w:p w14:paraId="5A16B99E" w14:textId="77777777" w:rsidR="00F930C7" w:rsidRDefault="00F930C7" w:rsidP="00F930C7">
      <w:pPr>
        <w:rPr>
          <w:lang w:val="en-GB"/>
        </w:rPr>
      </w:pPr>
    </w:p>
    <w:p w14:paraId="6D9A78C7" w14:textId="77777777" w:rsidR="00F930C7" w:rsidRPr="00F930C7" w:rsidRDefault="00F930C7" w:rsidP="00F930C7">
      <w:pPr>
        <w:rPr>
          <w:lang w:val="en-GB"/>
        </w:rPr>
      </w:pPr>
    </w:p>
    <w:p w14:paraId="302E661C" w14:textId="77777777" w:rsidR="00B878A4" w:rsidRDefault="00B878A4" w:rsidP="00D0622D">
      <w:pPr>
        <w:spacing w:line="480" w:lineRule="auto"/>
        <w:rPr>
          <w:lang w:val="en-GB"/>
        </w:rPr>
      </w:pPr>
    </w:p>
    <w:p w14:paraId="0F61C2CC" w14:textId="0861EF85" w:rsidR="002E7963" w:rsidRPr="00D0622D" w:rsidRDefault="002E7963" w:rsidP="00D0622D">
      <w:pPr>
        <w:spacing w:line="480" w:lineRule="auto"/>
        <w:rPr>
          <w:lang w:val="en-GB"/>
        </w:rPr>
      </w:pPr>
      <w:r w:rsidRPr="00C900E4">
        <w:rPr>
          <w:rStyle w:val="BodyTextChar"/>
        </w:rPr>
        <w:t xml:space="preserve">For more information, visit the following: </w:t>
      </w:r>
      <w:r w:rsidRPr="002E7963">
        <w:rPr>
          <w:rStyle w:val="Hyperlink"/>
          <w:lang w:val="en-GB"/>
        </w:rPr>
        <w:t>www.energy.vic.gov.au/renewable-energy/victorias-gas-substitution-roadmap</w:t>
      </w:r>
    </w:p>
    <w:p w14:paraId="07E360EA" w14:textId="5C10DE20" w:rsidR="00222FF2" w:rsidRPr="00CA175F" w:rsidRDefault="00222FF2" w:rsidP="00880EAE">
      <w:pPr>
        <w:pStyle w:val="Heading1"/>
        <w:spacing w:after="240"/>
        <w:rPr>
          <w:sz w:val="48"/>
        </w:rPr>
      </w:pPr>
      <w:bookmarkStart w:id="0" w:name="_Toc184285036"/>
      <w:r w:rsidRPr="00AD02AB">
        <w:t>Publication information</w:t>
      </w:r>
      <w:bookmarkEnd w:id="0"/>
    </w:p>
    <w:p w14:paraId="390996EC" w14:textId="3A726EAD" w:rsidR="00222FF2" w:rsidRPr="00880EAE" w:rsidRDefault="00222FF2" w:rsidP="00880EAE">
      <w:pPr>
        <w:pStyle w:val="Heading2"/>
        <w:spacing w:after="120" w:line="276" w:lineRule="auto"/>
        <w:rPr>
          <w:sz w:val="28"/>
          <w:szCs w:val="28"/>
        </w:rPr>
      </w:pPr>
      <w:r w:rsidRPr="00880EAE">
        <w:rPr>
          <w:sz w:val="28"/>
          <w:szCs w:val="28"/>
        </w:rPr>
        <w:t>Acknowledgement</w:t>
      </w:r>
      <w:r w:rsidR="00CA175F" w:rsidRPr="00880EAE">
        <w:rPr>
          <w:sz w:val="28"/>
          <w:szCs w:val="28"/>
        </w:rPr>
        <w:t xml:space="preserve"> of </w:t>
      </w:r>
      <w:r w:rsidR="00CA175F" w:rsidRPr="00880EAE">
        <w:rPr>
          <w:sz w:val="28"/>
          <w:szCs w:val="28"/>
          <w:lang w:val="en-AU"/>
        </w:rPr>
        <w:t>Traditional Owners</w:t>
      </w:r>
    </w:p>
    <w:p w14:paraId="3FEFB221" w14:textId="0469C522" w:rsidR="00222FF2" w:rsidRPr="00CA175F" w:rsidRDefault="00CA175F" w:rsidP="00880EAE">
      <w:pPr>
        <w:pStyle w:val="BodyText"/>
        <w:spacing w:after="120"/>
      </w:pPr>
      <w:r w:rsidRPr="00CA175F">
        <w:t>We acknowledge Victorian Traditional Owners and their Elders past and present as the original custodians of Victoria’s land and waters and commit to genuinely partnering with</w:t>
      </w:r>
      <w:r w:rsidR="00CA4414">
        <w:t xml:space="preserve"> </w:t>
      </w:r>
      <w:r w:rsidRPr="00CA175F">
        <w:t>them and Victoria’s Aboriginal community to progress their aspirations</w:t>
      </w:r>
      <w:r w:rsidR="00222FF2" w:rsidRPr="006D3BAD">
        <w:t>.</w:t>
      </w:r>
    </w:p>
    <w:p w14:paraId="69916005" w14:textId="77777777" w:rsidR="00222FF2" w:rsidRPr="00880EAE" w:rsidRDefault="00222FF2" w:rsidP="00880EAE">
      <w:pPr>
        <w:pStyle w:val="Heading2"/>
        <w:spacing w:after="120" w:line="276" w:lineRule="auto"/>
        <w:rPr>
          <w:sz w:val="28"/>
          <w:szCs w:val="28"/>
        </w:rPr>
      </w:pPr>
      <w:r w:rsidRPr="00880EAE">
        <w:rPr>
          <w:sz w:val="28"/>
          <w:szCs w:val="28"/>
        </w:rPr>
        <w:t>Copyright</w:t>
      </w:r>
    </w:p>
    <w:p w14:paraId="091D9D53" w14:textId="2822D556" w:rsidR="00222FF2" w:rsidRDefault="00222FF2" w:rsidP="00880EAE">
      <w:pPr>
        <w:pStyle w:val="BodyText"/>
        <w:spacing w:after="120"/>
        <w:ind w:right="-285"/>
      </w:pPr>
      <w:r w:rsidRPr="00F666C5">
        <w:rPr>
          <w:lang w:val="en-US"/>
        </w:rPr>
        <w:t xml:space="preserve">© The State of Victoria Department of Energy, Environment and Climate Action, </w:t>
      </w:r>
      <w:r w:rsidR="000026B6">
        <w:rPr>
          <w:lang w:val="en-US"/>
        </w:rPr>
        <w:br/>
      </w:r>
      <w:r w:rsidR="00220DDE">
        <w:rPr>
          <w:lang w:val="en-US"/>
        </w:rPr>
        <w:t>December</w:t>
      </w:r>
      <w:r w:rsidRPr="00F666C5">
        <w:rPr>
          <w:lang w:val="en-US"/>
        </w:rPr>
        <w:t xml:space="preserve"> 2024</w:t>
      </w:r>
      <w:r w:rsidRPr="006D3BAD">
        <w:t>.</w:t>
      </w:r>
    </w:p>
    <w:p w14:paraId="0732B89C" w14:textId="3E3B8619" w:rsidR="00D7712C" w:rsidRDefault="00D7712C" w:rsidP="00D7712C">
      <w:pPr>
        <w:pStyle w:val="BodyText"/>
        <w:spacing w:after="120"/>
        <w:ind w:right="-285"/>
        <w:rPr>
          <w:lang w:val="en-US"/>
        </w:rPr>
      </w:pPr>
      <w:r w:rsidRPr="00301637">
        <w:rPr>
          <w:b/>
          <w:bCs/>
          <w:lang w:val="en-US"/>
        </w:rPr>
        <w:t>ISBN</w:t>
      </w:r>
      <w:r w:rsidRPr="00D7712C">
        <w:rPr>
          <w:lang w:val="en-US"/>
        </w:rPr>
        <w:t xml:space="preserve"> </w:t>
      </w:r>
      <w:r w:rsidR="00C96FE2" w:rsidRPr="00C96FE2">
        <w:rPr>
          <w:lang w:val="en-US"/>
        </w:rPr>
        <w:t xml:space="preserve">978-1-76176-036-5 </w:t>
      </w:r>
      <w:r w:rsidRPr="00301637">
        <w:rPr>
          <w:b/>
          <w:bCs/>
          <w:lang w:val="en-US"/>
        </w:rPr>
        <w:t>(pdf/online/MS word)</w:t>
      </w:r>
      <w:r w:rsidRPr="00D7712C">
        <w:rPr>
          <w:lang w:val="en-US"/>
        </w:rPr>
        <w:t xml:space="preserve"> </w:t>
      </w:r>
    </w:p>
    <w:p w14:paraId="1351473F" w14:textId="77777777" w:rsidR="00F00F18" w:rsidRPr="00D7712C" w:rsidRDefault="00F00F18" w:rsidP="00F00F18">
      <w:pPr>
        <w:pStyle w:val="BodyText"/>
        <w:spacing w:after="120"/>
        <w:ind w:right="-285"/>
        <w:rPr>
          <w:lang w:val="en-US"/>
        </w:rPr>
      </w:pPr>
      <w:r w:rsidRPr="00301637">
        <w:rPr>
          <w:b/>
          <w:bCs/>
          <w:lang w:val="en-US"/>
        </w:rPr>
        <w:t>ISBN</w:t>
      </w:r>
      <w:r w:rsidRPr="00D7712C">
        <w:rPr>
          <w:lang w:val="en-US"/>
        </w:rPr>
        <w:t xml:space="preserve"> </w:t>
      </w:r>
      <w:r w:rsidRPr="00F00F18">
        <w:rPr>
          <w:rFonts w:ascii="Arial" w:hAnsi="Arial" w:cs="Arial"/>
          <w:color w:val="000000"/>
          <w:shd w:val="clear" w:color="auto" w:fill="FFFFFF"/>
        </w:rPr>
        <w:t>978-1-76176-037-2</w:t>
      </w:r>
      <w:r w:rsidRPr="00D7712C">
        <w:rPr>
          <w:lang w:val="en-US"/>
        </w:rPr>
        <w:t xml:space="preserve"> </w:t>
      </w:r>
      <w:r w:rsidRPr="00301637">
        <w:rPr>
          <w:b/>
          <w:bCs/>
          <w:lang w:val="en-US"/>
        </w:rPr>
        <w:t>(Print)</w:t>
      </w:r>
    </w:p>
    <w:p w14:paraId="7169B32C" w14:textId="77777777" w:rsidR="00222FF2" w:rsidRPr="00880EAE" w:rsidRDefault="00222FF2" w:rsidP="00880EAE">
      <w:pPr>
        <w:pStyle w:val="Heading2"/>
        <w:spacing w:after="120" w:line="276" w:lineRule="auto"/>
        <w:rPr>
          <w:sz w:val="28"/>
          <w:szCs w:val="28"/>
        </w:rPr>
      </w:pPr>
      <w:r w:rsidRPr="00880EAE">
        <w:rPr>
          <w:sz w:val="28"/>
          <w:szCs w:val="28"/>
        </w:rPr>
        <w:t>Disclaimer</w:t>
      </w:r>
    </w:p>
    <w:p w14:paraId="7F0B8795" w14:textId="77777777" w:rsidR="00222FF2" w:rsidRPr="005A5FCD" w:rsidRDefault="00222FF2" w:rsidP="00880EAE">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785D4ED8" w14:textId="77777777" w:rsidR="00222FF2" w:rsidRPr="00880EAE" w:rsidRDefault="00222FF2" w:rsidP="00880EAE">
      <w:pPr>
        <w:pStyle w:val="Heading2"/>
        <w:spacing w:after="120" w:line="276" w:lineRule="auto"/>
        <w:rPr>
          <w:sz w:val="28"/>
          <w:szCs w:val="28"/>
        </w:rPr>
      </w:pPr>
      <w:r w:rsidRPr="00880EAE">
        <w:rPr>
          <w:sz w:val="28"/>
          <w:szCs w:val="28"/>
        </w:rPr>
        <w:t>Accessibility</w:t>
      </w:r>
    </w:p>
    <w:p w14:paraId="2EA6AE14" w14:textId="10E1AB56" w:rsidR="00222FF2" w:rsidRPr="00CB4B87" w:rsidRDefault="00222FF2" w:rsidP="00880EAE">
      <w:pPr>
        <w:pStyle w:val="BodyText"/>
        <w:spacing w:after="120"/>
      </w:pPr>
      <w:r>
        <w:t xml:space="preserve">To receive this document in an alternative format, phone the Customer Service Centre on 136 186, email </w:t>
      </w:r>
      <w:hyperlink r:id="rId10" w:tooltip="Send an email to customer service" w:history="1">
        <w:r w:rsidRPr="0078282A">
          <w:rPr>
            <w:rStyle w:val="Hyperlink"/>
          </w:rPr>
          <w:t>customer.service@delwp.vic.gov.au</w:t>
        </w:r>
      </w:hyperlink>
      <w:r>
        <w:t>, or contact National Relay Service on 133 677. Available at DEECA website (</w:t>
      </w:r>
      <w:hyperlink r:id="rId11" w:tooltip="Hyperlink to the DEECA website" w:history="1">
        <w:r w:rsidRPr="0078282A">
          <w:rPr>
            <w:rStyle w:val="Hyperlink"/>
          </w:rPr>
          <w:t>www.deeca.vic.gov.au</w:t>
        </w:r>
      </w:hyperlink>
      <w:r>
        <w:t>).</w:t>
      </w:r>
    </w:p>
    <w:p w14:paraId="4B71079D" w14:textId="77777777" w:rsidR="00F767CD" w:rsidRPr="00F767CD" w:rsidRDefault="00222FF2" w:rsidP="00880EAE">
      <w:pPr>
        <w:pStyle w:val="BodyText"/>
        <w:spacing w:before="120"/>
        <w:rPr>
          <w:b/>
          <w:bCs/>
        </w:rPr>
      </w:pPr>
      <w:r w:rsidRPr="00F767CD">
        <w:rPr>
          <w:b/>
          <w:bCs/>
        </w:rPr>
        <w:t>End of document.</w:t>
      </w:r>
    </w:p>
    <w:sectPr w:rsidR="00F767CD" w:rsidRPr="00F767CD" w:rsidSect="00880EAE">
      <w:footerReference w:type="even" r:id="rId12"/>
      <w:footerReference w:type="default" r:id="rId13"/>
      <w:pgSz w:w="11906" w:h="16838"/>
      <w:pgMar w:top="907"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5C34E" w14:textId="77777777" w:rsidR="00AA271B" w:rsidRDefault="00AA271B" w:rsidP="00F2730B">
      <w:pPr>
        <w:spacing w:after="0" w:line="240" w:lineRule="auto"/>
      </w:pPr>
      <w:r>
        <w:separator/>
      </w:r>
    </w:p>
  </w:endnote>
  <w:endnote w:type="continuationSeparator" w:id="0">
    <w:p w14:paraId="0E2090E7" w14:textId="77777777" w:rsidR="00AA271B" w:rsidRDefault="00AA271B"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597967"/>
      <w:docPartObj>
        <w:docPartGallery w:val="Page Numbers (Bottom of Page)"/>
        <w:docPartUnique/>
      </w:docPartObj>
    </w:sdtPr>
    <w:sdtEndPr>
      <w:rPr>
        <w:rStyle w:val="PageNumber"/>
      </w:rPr>
    </w:sdtEndPr>
    <w:sdtContent>
      <w:p w14:paraId="2AEA107D" w14:textId="105072F5" w:rsidR="00880EAE" w:rsidRDefault="00880EAE" w:rsidP="00184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50B8A" w14:textId="77777777" w:rsidR="00880EAE" w:rsidRDefault="00880EAE" w:rsidP="00880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868484055"/>
      <w:docPartObj>
        <w:docPartGallery w:val="Page Numbers (Bottom of Page)"/>
        <w:docPartUnique/>
      </w:docPartObj>
    </w:sdtPr>
    <w:sdtEndPr>
      <w:rPr>
        <w:rStyle w:val="PageNumber"/>
      </w:rPr>
    </w:sdtEndPr>
    <w:sdtContent>
      <w:p w14:paraId="43CE201D" w14:textId="7830242C" w:rsidR="00880EAE" w:rsidRPr="00880EAE" w:rsidRDefault="00880EAE" w:rsidP="001844F4">
        <w:pPr>
          <w:pStyle w:val="Footer"/>
          <w:framePr w:wrap="none" w:vAnchor="text" w:hAnchor="margin" w:xAlign="right" w:y="1"/>
          <w:rPr>
            <w:rStyle w:val="PageNumber"/>
            <w:sz w:val="20"/>
            <w:szCs w:val="20"/>
          </w:rPr>
        </w:pPr>
        <w:r w:rsidRPr="00880EAE">
          <w:rPr>
            <w:rStyle w:val="PageNumber"/>
            <w:sz w:val="20"/>
            <w:szCs w:val="20"/>
          </w:rPr>
          <w:fldChar w:fldCharType="begin"/>
        </w:r>
        <w:r w:rsidRPr="00880EAE">
          <w:rPr>
            <w:rStyle w:val="PageNumber"/>
            <w:sz w:val="20"/>
            <w:szCs w:val="20"/>
          </w:rPr>
          <w:instrText xml:space="preserve"> PAGE </w:instrText>
        </w:r>
        <w:r w:rsidRPr="00880EAE">
          <w:rPr>
            <w:rStyle w:val="PageNumber"/>
            <w:sz w:val="20"/>
            <w:szCs w:val="20"/>
          </w:rPr>
          <w:fldChar w:fldCharType="separate"/>
        </w:r>
        <w:r w:rsidRPr="00880EAE">
          <w:rPr>
            <w:rStyle w:val="PageNumber"/>
            <w:noProof/>
            <w:sz w:val="20"/>
            <w:szCs w:val="20"/>
          </w:rPr>
          <w:t>1</w:t>
        </w:r>
        <w:r w:rsidRPr="00880EAE">
          <w:rPr>
            <w:rStyle w:val="PageNumber"/>
            <w:sz w:val="20"/>
            <w:szCs w:val="20"/>
          </w:rPr>
          <w:fldChar w:fldCharType="end"/>
        </w:r>
      </w:p>
    </w:sdtContent>
  </w:sdt>
  <w:p w14:paraId="2C47D643" w14:textId="4732332C" w:rsidR="00880EAE" w:rsidRPr="00880EAE" w:rsidRDefault="00D7712C" w:rsidP="00880EAE">
    <w:pPr>
      <w:pStyle w:val="Footer"/>
      <w:ind w:right="360"/>
      <w:rPr>
        <w:sz w:val="20"/>
        <w:szCs w:val="20"/>
        <w:lang w:val="en-GB"/>
      </w:rPr>
    </w:pPr>
    <w:r>
      <w:rPr>
        <w:sz w:val="20"/>
        <w:szCs w:val="20"/>
        <w:lang w:val="en-GB"/>
      </w:rPr>
      <w:t>Gas Substitution Roadmap –</w:t>
    </w:r>
    <w:r w:rsidR="00880EAE" w:rsidRPr="00880EAE">
      <w:rPr>
        <w:sz w:val="20"/>
        <w:szCs w:val="20"/>
        <w:lang w:val="en-GB"/>
      </w:rPr>
      <w:t xml:space="preserve"> </w:t>
    </w:r>
    <w:r>
      <w:rPr>
        <w:sz w:val="20"/>
        <w:szCs w:val="20"/>
        <w:lang w:val="en-US"/>
      </w:rPr>
      <w:t>New Homes Fact Sheet</w:t>
    </w:r>
  </w:p>
  <w:p w14:paraId="7840FAD7" w14:textId="77777777" w:rsidR="00B165A7" w:rsidRPr="00880EAE" w:rsidRDefault="00B165A7" w:rsidP="00B165A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5048" w14:textId="77777777" w:rsidR="00AA271B" w:rsidRDefault="00AA271B" w:rsidP="00F2730B">
      <w:pPr>
        <w:spacing w:after="0" w:line="240" w:lineRule="auto"/>
      </w:pPr>
      <w:r>
        <w:separator/>
      </w:r>
    </w:p>
  </w:footnote>
  <w:footnote w:type="continuationSeparator" w:id="0">
    <w:p w14:paraId="4DB834B9" w14:textId="77777777" w:rsidR="00AA271B" w:rsidRDefault="00AA271B"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D8"/>
    <w:rsid w:val="00001E7A"/>
    <w:rsid w:val="000026B6"/>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E6973"/>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2DE"/>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0DDE"/>
    <w:rsid w:val="00222FF2"/>
    <w:rsid w:val="00231129"/>
    <w:rsid w:val="002336CC"/>
    <w:rsid w:val="00233B8B"/>
    <w:rsid w:val="00236EB6"/>
    <w:rsid w:val="00241796"/>
    <w:rsid w:val="00241E12"/>
    <w:rsid w:val="00244E10"/>
    <w:rsid w:val="0024556C"/>
    <w:rsid w:val="002460FA"/>
    <w:rsid w:val="00246623"/>
    <w:rsid w:val="00250190"/>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563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64D3"/>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E7963"/>
    <w:rsid w:val="002F0246"/>
    <w:rsid w:val="002F08A3"/>
    <w:rsid w:val="002F0A22"/>
    <w:rsid w:val="002F239E"/>
    <w:rsid w:val="002F2CD2"/>
    <w:rsid w:val="002F38E2"/>
    <w:rsid w:val="002F5028"/>
    <w:rsid w:val="002F7F10"/>
    <w:rsid w:val="00301637"/>
    <w:rsid w:val="003016EC"/>
    <w:rsid w:val="003020D8"/>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4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4B1F"/>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4FCB"/>
    <w:rsid w:val="005E730C"/>
    <w:rsid w:val="005E7912"/>
    <w:rsid w:val="005E7E0B"/>
    <w:rsid w:val="005F05E4"/>
    <w:rsid w:val="005F1A1C"/>
    <w:rsid w:val="005F1D94"/>
    <w:rsid w:val="005F28AC"/>
    <w:rsid w:val="005F38D7"/>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439A"/>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41"/>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5F85"/>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40E7A"/>
    <w:rsid w:val="0084376B"/>
    <w:rsid w:val="008452F6"/>
    <w:rsid w:val="00846AB0"/>
    <w:rsid w:val="008475CB"/>
    <w:rsid w:val="008478FC"/>
    <w:rsid w:val="00852A79"/>
    <w:rsid w:val="008562E7"/>
    <w:rsid w:val="008563EE"/>
    <w:rsid w:val="00857C5C"/>
    <w:rsid w:val="008620C1"/>
    <w:rsid w:val="00862D18"/>
    <w:rsid w:val="00863E6B"/>
    <w:rsid w:val="00874D3A"/>
    <w:rsid w:val="00875B2C"/>
    <w:rsid w:val="008766CE"/>
    <w:rsid w:val="00876D01"/>
    <w:rsid w:val="00876FBF"/>
    <w:rsid w:val="00880B31"/>
    <w:rsid w:val="00880EAE"/>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4399"/>
    <w:rsid w:val="00A16B81"/>
    <w:rsid w:val="00A16E58"/>
    <w:rsid w:val="00A2352C"/>
    <w:rsid w:val="00A2445D"/>
    <w:rsid w:val="00A30B87"/>
    <w:rsid w:val="00A32194"/>
    <w:rsid w:val="00A32BCC"/>
    <w:rsid w:val="00A36831"/>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271B"/>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3DE"/>
    <w:rsid w:val="00B35AD1"/>
    <w:rsid w:val="00B40E55"/>
    <w:rsid w:val="00B437D8"/>
    <w:rsid w:val="00B470DA"/>
    <w:rsid w:val="00B47A27"/>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1F00"/>
    <w:rsid w:val="00B84C3C"/>
    <w:rsid w:val="00B868B3"/>
    <w:rsid w:val="00B878A4"/>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0EA"/>
    <w:rsid w:val="00C26A0D"/>
    <w:rsid w:val="00C3751A"/>
    <w:rsid w:val="00C379D6"/>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00E4"/>
    <w:rsid w:val="00C92318"/>
    <w:rsid w:val="00C92D1B"/>
    <w:rsid w:val="00C9496D"/>
    <w:rsid w:val="00C96FE2"/>
    <w:rsid w:val="00CA0627"/>
    <w:rsid w:val="00CA0E01"/>
    <w:rsid w:val="00CA175F"/>
    <w:rsid w:val="00CA2AD9"/>
    <w:rsid w:val="00CA2E3E"/>
    <w:rsid w:val="00CA3282"/>
    <w:rsid w:val="00CA33D3"/>
    <w:rsid w:val="00CA4414"/>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0622D"/>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12C"/>
    <w:rsid w:val="00D7738C"/>
    <w:rsid w:val="00D816A3"/>
    <w:rsid w:val="00D8189F"/>
    <w:rsid w:val="00D81AAB"/>
    <w:rsid w:val="00D8403B"/>
    <w:rsid w:val="00D86BCD"/>
    <w:rsid w:val="00D871E0"/>
    <w:rsid w:val="00D877EA"/>
    <w:rsid w:val="00D90BFB"/>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C4377"/>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2996"/>
    <w:rsid w:val="00E2494E"/>
    <w:rsid w:val="00E25D0B"/>
    <w:rsid w:val="00E27B9E"/>
    <w:rsid w:val="00E33504"/>
    <w:rsid w:val="00E33DED"/>
    <w:rsid w:val="00E34982"/>
    <w:rsid w:val="00E3623C"/>
    <w:rsid w:val="00E37BF1"/>
    <w:rsid w:val="00E43E76"/>
    <w:rsid w:val="00E44349"/>
    <w:rsid w:val="00E44E41"/>
    <w:rsid w:val="00E544D1"/>
    <w:rsid w:val="00E602B9"/>
    <w:rsid w:val="00E6081B"/>
    <w:rsid w:val="00E6112B"/>
    <w:rsid w:val="00E65843"/>
    <w:rsid w:val="00E70B37"/>
    <w:rsid w:val="00E72D41"/>
    <w:rsid w:val="00E73A68"/>
    <w:rsid w:val="00E742A1"/>
    <w:rsid w:val="00E7462C"/>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0F18"/>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2840"/>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0C7"/>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76C14"/>
  <w14:defaultImageDpi w14:val="0"/>
  <w15:docId w15:val="{F551377A-8955-8F4C-BB5D-0EBFEFB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220DDE"/>
    <w:pPr>
      <w:keepNext/>
      <w:keepLines/>
      <w:spacing w:after="360" w:line="700" w:lineRule="exact"/>
      <w:outlineLvl w:val="0"/>
    </w:pPr>
    <w:rPr>
      <w:rFonts w:asciiTheme="majorHAnsi" w:eastAsiaTheme="majorEastAsia" w:hAnsiTheme="majorHAnsi" w:cs="Times New Roman (Headings CS)"/>
      <w:b/>
      <w:bCs/>
      <w:sz w:val="36"/>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CA2AD9"/>
    <w:pPr>
      <w:spacing w:after="240" w:line="8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CA2AD9"/>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CA2AD9"/>
    <w:pPr>
      <w:numPr>
        <w:ilvl w:val="1"/>
      </w:numPr>
      <w:spacing w:before="240" w:after="480" w:line="360" w:lineRule="auto"/>
    </w:pPr>
    <w:rPr>
      <w:b/>
      <w:sz w:val="44"/>
      <w:szCs w:val="44"/>
      <w:lang w:val="en-US"/>
    </w:rPr>
  </w:style>
  <w:style w:type="character" w:customStyle="1" w:styleId="SubtitleChar">
    <w:name w:val="Subtitle Char"/>
    <w:basedOn w:val="DefaultParagraphFont"/>
    <w:link w:val="Subtitle"/>
    <w:uiPriority w:val="11"/>
    <w:rsid w:val="00CA2AD9"/>
    <w:rPr>
      <w:b/>
      <w:sz w:val="44"/>
      <w:szCs w:val="44"/>
      <w:lang w:val="en-US"/>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220DDE"/>
    <w:rPr>
      <w:rFonts w:asciiTheme="majorHAnsi" w:eastAsiaTheme="majorEastAsia" w:hAnsiTheme="majorHAnsi" w:cs="Times New Roman (Headings CS)"/>
      <w:b/>
      <w:bCs/>
      <w:sz w:val="36"/>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B878A4"/>
    <w:pPr>
      <w:widowControl/>
      <w:suppressAutoHyphens/>
      <w:spacing w:before="57" w:after="113" w:line="240" w:lineRule="atLeast"/>
    </w:pPr>
    <w:rPr>
      <w:rFonts w:asciiTheme="majorHAnsi" w:hAnsiTheme="majorHAnsi" w:cstheme="majorHAnsi"/>
      <w:b/>
      <w:bCs/>
      <w:color w:val="000000" w:themeColor="text1"/>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A4312D"/>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CA175F"/>
    <w:rPr>
      <w:color w:val="605E5C"/>
      <w:shd w:val="clear" w:color="auto" w:fill="E1DFDD"/>
    </w:rPr>
  </w:style>
  <w:style w:type="paragraph" w:customStyle="1" w:styleId="BasicParagraph">
    <w:name w:val="[Basic Paragraph]"/>
    <w:basedOn w:val="NoParagraphStyle"/>
    <w:uiPriority w:val="99"/>
    <w:rsid w:val="00E22996"/>
    <w:pPr>
      <w:widowControl/>
    </w:pPr>
    <w:rPr>
      <w:rFonts w:ascii="Minion Pro" w:hAnsi="Minion Pro" w:cs="Minion Pro"/>
    </w:rPr>
  </w:style>
  <w:style w:type="paragraph" w:customStyle="1" w:styleId="Introduction">
    <w:name w:val="Introduction"/>
    <w:basedOn w:val="Normal"/>
    <w:qFormat/>
    <w:rsid w:val="002E7963"/>
    <w:pPr>
      <w:spacing w:line="480" w:lineRule="auto"/>
    </w:pPr>
    <w:rPr>
      <w:sz w:val="32"/>
      <w:szCs w:val="32"/>
      <w:lang w:val="en-GB"/>
    </w:rPr>
  </w:style>
  <w:style w:type="paragraph" w:styleId="FootnoteText">
    <w:name w:val="footnote text"/>
    <w:basedOn w:val="Normal"/>
    <w:link w:val="FootnoteTextChar"/>
    <w:uiPriority w:val="99"/>
    <w:unhideWhenUsed/>
    <w:rsid w:val="00E44E41"/>
    <w:pPr>
      <w:spacing w:after="0" w:line="240" w:lineRule="auto"/>
    </w:pPr>
    <w:rPr>
      <w:sz w:val="20"/>
      <w:szCs w:val="20"/>
    </w:rPr>
  </w:style>
  <w:style w:type="character" w:customStyle="1" w:styleId="FootnoteTextChar">
    <w:name w:val="Footnote Text Char"/>
    <w:basedOn w:val="DefaultParagraphFont"/>
    <w:link w:val="FootnoteText"/>
    <w:uiPriority w:val="99"/>
    <w:rsid w:val="00E44E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allen\Desktop\DECCA%20Work\2024\AUGUST\13%20August%202024\www.deeca.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johnallen\Desktop\DECCA%20Work\2024\AUGUST\13%20August%202024\customer.service@delwp.vic.gov.a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580</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Gas Substitution Roadmap – New Homes Fact Sheet </vt:lpstr>
    </vt:vector>
  </TitlesOfParts>
  <Manager/>
  <Company/>
  <LinksUpToDate>false</LinksUpToDate>
  <CharactersWithSpaces>4186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Substitution Roadmap – New Homes Fact Sheet</dc:title>
  <dc:subject/>
  <dc:creator>State of Victoria Department of Energy, Environment and Climate Action</dc:creator>
  <cp:keywords/>
  <dc:description>© The State of Victoria Department of Energy, Environment and Climate Action, December 2024.</dc:description>
  <cp:lastModifiedBy>Bri F Cartlidge (DEECA)</cp:lastModifiedBy>
  <cp:revision>2</cp:revision>
  <dcterms:created xsi:type="dcterms:W3CDTF">2025-04-09T02:19:00Z</dcterms:created>
  <dcterms:modified xsi:type="dcterms:W3CDTF">2025-04-09T02:19:00Z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